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bidi/>
        <w:spacing w:after="36"/>
      </w:pPr>
      <w:r>
        <w:rPr>
          <w:rFonts w:ascii="Times New Roman" w:hAnsi="Times New Roman" w:cs="Times New Roman"/>
          <w:b/>
          <w:rtl/>
          <w:sz w:val="22"/>
        </w:rPr>
        <w:t xml:space="preserve"/>
      </w:r>
      <w:r>
        <w:br/>
      </w:r>
      <w:r>
        <w:rPr>
          <w:rFonts w:ascii="Times New Roman" w:hAnsi="Times New Roman" w:cs="Times New Roman"/>
          <w:b/>
          <w:rtl/>
          <w:sz w:val="22"/>
        </w:rPr>
        <w:t xml:space="preserve"/>
      </w:r>
      <w:r>
        <w:br/>
      </w:r>
      <w:r>
        <w:rPr>
          <w:rFonts w:ascii="Times New Roman" w:hAnsi="Times New Roman" w:cs="Times New Roman"/>
          <w:b/>
          <w:rtl/>
          <w:sz w:val="22"/>
        </w:rPr>
        <w:t xml:space="preserve"/>
      </w:r>
      <w:r>
        <w:br/>
      </w:r>
      <w:r>
        <w:rPr>
          <w:rFonts w:ascii="Times New Roman" w:hAnsi="Times New Roman" w:cs="Times New Roman"/>
          <w:b/>
          <w:rtl/>
          <w:sz w:val="22"/>
        </w:rPr>
        <w:t xml:space="preserve"> | Olympus Journal of Science</w:t>
      </w:r>
    </w:p>
    <w:p>
      <w:pPr>
        <w:jc w:val="center"/>
        <w:spacing w:after="28"/>
      </w:pPr>
      <w:r>
        <w:rPr>
          <w:rFonts w:ascii="Times New Roman" w:hAnsi="Times New Roman" w:cs="Times New Roman"/>
          <w:sz w:val="18"/>
        </w:rPr>
        <w:t xml:space="preserve">ISSN (Print): 3105-4188 | ISSN (Online): 3105-4196</w:t>
      </w:r>
    </w:p>
    <w:p>
      <w:pPr>
        <w:jc w:val="center"/>
        <w:spacing w:after="48"/>
      </w:pPr>
      <w:r>
        <w:rPr>
          <w:rFonts w:ascii="Times New Roman" w:hAnsi="Times New Roman" w:cs="Times New Roman"/>
          <w:sz w:val="18"/>
        </w:rPr>
        <w:t xml:space="preserve">Vol. 1, No. 5, 2026 | Received: April 7, 2026 | Accepted: April 14, 2026 | Published: May 5, 2026</w:t>
      </w:r>
    </w:p>
    <w:p>
      <w:pPr>
        <w:jc w:val="center"/>
        <w:spacing w:after="72"/>
      </w:pPr>
      <w:r>
        <w:rPr>
          <w:rFonts w:ascii="Times New Roman" w:hAnsi="Times New Roman" w:cs="Times New Roman"/>
          <w:sz w:val="14"/>
        </w:rPr>
        <w:t xml:space="preserve">________________________________________________________________</w:t>
      </w:r>
    </w:p>
    <w:p w14:paraId="03E0DEB5">
      <w:pPr>
        <w:bidi/>
        <w:spacing w:line="360" w:lineRule="auto"/>
        <w:jc w:val="center"/>
        <w:rPr>
          <w:rFonts w:asciiTheme="majorBidi" w:hAnsiTheme="majorBidi" w:cstheme="majorBidi"/>
          <w:b/>
          <w:bCs/>
          <w:sz w:val="20"/>
          <w:szCs w:val="20"/>
          <w:rtl/>
        </w:rPr>
      </w:pPr>
      <w:bookmarkStart w:id="0" w:name="_Hlk208772683"/>
      <w:r>
        <w:rPr>
          <w:rFonts w:asciiTheme="majorBidi" w:hAnsiTheme="majorBidi" w:cstheme="majorBidi"/>
          <w:b/>
          <w:bCs/>
          <w:sz w:val="20"/>
          <w:szCs w:val="20"/>
          <w:rtl/>
        </w:rPr>
        <w:t xml:space="preserve">تقييم </w:t>
      </w:r>
      <w:bookmarkStart w:id="1" w:name="_Hlk208772780"/>
      <w:r>
        <w:rPr>
          <w:rFonts w:asciiTheme="majorBidi" w:hAnsiTheme="majorBidi" w:cstheme="majorBidi"/>
          <w:b/>
          <w:bCs/>
          <w:sz w:val="20"/>
          <w:szCs w:val="20"/>
          <w:rtl/>
        </w:rPr>
        <w:t xml:space="preserve">محو الأمية في مجال الصحة النفسية والوصمة تجاه المرض النفسي </w:t>
      </w:r>
      <w:bookmarkEnd w:id="1"/>
      <w:r>
        <w:rPr>
          <w:rFonts w:asciiTheme="majorBidi" w:hAnsiTheme="majorBidi" w:cstheme="majorBidi"/>
          <w:b/>
          <w:bCs/>
          <w:sz w:val="20"/>
          <w:szCs w:val="20"/>
          <w:rtl/>
        </w:rPr>
        <w:t>لدى عينة من المجتمع الأردني</w:t>
      </w:r>
    </w:p>
    <w:bookmarkEnd w:id="0"/>
    <w:p w14:paraId="5472D5D5">
      <w:pPr>
        <w:bidi/>
        <w:spacing w:line="360" w:lineRule="auto"/>
        <w:jc w:val="center"/>
        <w:rPr>
          <w:b/>
          <w:bCs/>
          <w:sz w:val="20"/>
          <w:szCs w:val="20"/>
          <w:rtl/>
        </w:rPr>
      </w:pPr>
      <w:r>
        <w:rPr>
          <w:b/>
          <w:bCs/>
          <w:sz w:val="20"/>
          <w:szCs w:val="20"/>
          <w:rtl/>
        </w:rPr>
        <w:t>ساره نضال هاشم اضميدي</w:t>
      </w:r>
      <w:r>
        <w:rPr>
          <w:b/>
          <w:bCs/>
          <w:sz w:val="20"/>
          <w:szCs w:val="20"/>
        </w:rPr>
        <w:br w:type="textWrapping"/>
      </w:r>
      <w:r>
        <w:rPr>
          <w:b/>
          <w:bCs/>
          <w:sz w:val="20"/>
          <w:szCs w:val="20"/>
          <w:rtl/>
        </w:rPr>
        <w:t>ماجستير في الإرشاد النفسي والتربوي</w:t>
      </w:r>
    </w:p>
    <w:p w14:paraId="716C009A">
      <w:pPr>
        <w:bidi/>
        <w:spacing w:line="360" w:lineRule="auto"/>
        <w:jc w:val="center"/>
        <w:rPr>
          <w:rFonts w:asciiTheme="majorBidi" w:hAnsiTheme="majorBidi" w:cstheme="majorBidi"/>
          <w:b/>
          <w:bCs/>
          <w:color w:val="EE0000"/>
          <w:sz w:val="20"/>
          <w:szCs w:val="20"/>
          <w:lang w:bidi="ar-JO"/>
        </w:rPr>
      </w:pPr>
      <w:r>
        <w:rPr>
          <w:sz w:val="20"/>
          <w:szCs w:val="20"/>
        </w:rPr>
        <w:fldChar w:fldCharType="begin"/>
      </w:r>
      <w:r>
        <w:rPr>
          <w:sz w:val="20"/>
          <w:szCs w:val="20"/>
        </w:rPr>
        <w:instrText xml:space="preserve"> HYPERLINK "mailto:Saraidmaidi99@gmail.com" </w:instrText>
      </w:r>
      <w:r>
        <w:rPr>
          <w:sz w:val="20"/>
          <w:szCs w:val="20"/>
        </w:rPr>
        <w:fldChar w:fldCharType="separate"/>
      </w:r>
      <w:r>
        <w:rPr>
          <w:rStyle w:val="9"/>
          <w:rFonts w:asciiTheme="majorBidi" w:hAnsiTheme="majorBidi" w:cstheme="majorBidi"/>
          <w:b/>
          <w:bCs/>
          <w:sz w:val="20"/>
          <w:szCs w:val="20"/>
        </w:rPr>
        <w:t>Saraidmaidi99@gmail.com</w:t>
      </w:r>
      <w:r>
        <w:rPr>
          <w:rStyle w:val="9"/>
          <w:rFonts w:asciiTheme="majorBidi" w:hAnsiTheme="majorBidi" w:cstheme="majorBidi"/>
          <w:b/>
          <w:bCs/>
          <w:sz w:val="20"/>
          <w:szCs w:val="20"/>
        </w:rPr>
        <w:fldChar w:fldCharType="end"/>
      </w:r>
      <w:r>
        <w:rPr>
          <w:rFonts w:asciiTheme="majorBidi" w:hAnsiTheme="majorBidi" w:cstheme="majorBidi"/>
          <w:b/>
          <w:bCs/>
          <w:sz w:val="20"/>
          <w:szCs w:val="20"/>
          <w:rtl/>
        </w:rPr>
        <w:t xml:space="preserve"> </w:t>
      </w:r>
    </w:p>
    <w:p w14:paraId="292BEE0A">
      <w:pPr>
        <w:bidi/>
        <w:spacing w:before="100" w:beforeAutospacing="1" w:after="100" w:afterAutospacing="1" w:line="360" w:lineRule="auto"/>
        <w:jc w:val="lowKashida"/>
        <w:rPr>
          <w:rFonts w:ascii="Times New Roman" w:hAnsi="Times New Roman" w:eastAsia="Times New Roman" w:cs="Times New Roman"/>
          <w:kern w:val="0"/>
          <w:sz w:val="20"/>
          <w:szCs w:val="20"/>
          <w:rtl/>
          <w14:ligatures w14:val="none"/>
        </w:rPr>
      </w:pPr>
      <w:r>
        <w:rPr>
          <w:rStyle w:val="11"/>
          <w:rFonts w:asciiTheme="majorBidi" w:hAnsiTheme="majorBidi"/>
          <w:sz w:val="20"/>
          <w:szCs w:val="20"/>
          <w:rtl/>
          <w:lang w:bidi="ar-JO"/>
        </w:rPr>
        <w:t>الملخص</w:t>
      </w:r>
      <w:r>
        <w:rPr>
          <w:rStyle w:val="11"/>
          <w:rFonts w:hint="cs" w:asciiTheme="majorBidi" w:hAnsiTheme="majorBidi"/>
          <w:sz w:val="20"/>
          <w:szCs w:val="20"/>
          <w:rtl/>
          <w:lang w:bidi="ar-JO"/>
        </w:rPr>
        <w:t xml:space="preserve">: </w:t>
      </w:r>
      <w:r>
        <w:rPr>
          <w:rFonts w:ascii="Times New Roman" w:hAnsi="Times New Roman" w:eastAsia="Times New Roman" w:cs="Times New Roman"/>
          <w:kern w:val="0"/>
          <w:sz w:val="20"/>
          <w:szCs w:val="20"/>
          <w:rtl/>
          <w14:ligatures w14:val="none"/>
        </w:rPr>
        <w:t xml:space="preserve">هدفت الدراسة الحالية إلى تقييم مستوى محو الأمية في مجال الصحة النفسية والوصمة تجاه المرض النفسي لدى عينة من المجتمع الأردني، </w:t>
      </w:r>
      <w:bookmarkStart w:id="6" w:name="_GoBack"/>
      <w:bookmarkEnd w:id="6"/>
      <w:r>
        <w:rPr>
          <w:rFonts w:ascii="Times New Roman" w:hAnsi="Times New Roman" w:eastAsia="Times New Roman" w:cs="Times New Roman"/>
          <w:kern w:val="0"/>
          <w:sz w:val="20"/>
          <w:szCs w:val="20"/>
          <w:rtl/>
          <w14:ligatures w14:val="none"/>
        </w:rPr>
        <w:t>وذلك بالاعتماد على المنهج الوصفي الارتباطي، حيث تكونت العينة من (384) فردًا</w:t>
      </w:r>
      <w:r>
        <w:rPr>
          <w:rFonts w:hint="cs" w:ascii="Times New Roman" w:hAnsi="Times New Roman" w:eastAsia="Times New Roman" w:cs="Times New Roman"/>
          <w:kern w:val="0"/>
          <w:sz w:val="20"/>
          <w:szCs w:val="20"/>
          <w:rtl/>
          <w14:ligatures w14:val="none"/>
        </w:rPr>
        <w:t>،</w:t>
      </w:r>
      <w:r>
        <w:rPr>
          <w:rFonts w:ascii="Times New Roman" w:hAnsi="Times New Roman" w:eastAsia="Times New Roman" w:cs="Times New Roman"/>
          <w:kern w:val="0"/>
          <w:sz w:val="20"/>
          <w:szCs w:val="20"/>
          <w:rtl/>
          <w14:ligatures w14:val="none"/>
        </w:rPr>
        <w:t xml:space="preserve"> وتم استخدام مقياس محو الأمية في الصحة النفسية ومقياس الوصمة الاجتماعية</w:t>
      </w:r>
      <w:r>
        <w:rPr>
          <w:rFonts w:hint="cs" w:ascii="Times New Roman" w:hAnsi="Times New Roman" w:eastAsia="Times New Roman" w:cs="Times New Roman"/>
          <w:kern w:val="0"/>
          <w:sz w:val="20"/>
          <w:szCs w:val="20"/>
          <w:rtl/>
          <w14:ligatures w14:val="none"/>
        </w:rPr>
        <w:t>،</w:t>
      </w:r>
      <w:r>
        <w:rPr>
          <w:rFonts w:ascii="Times New Roman" w:hAnsi="Times New Roman" w:eastAsia="Times New Roman" w:cs="Times New Roman"/>
          <w:kern w:val="0"/>
          <w:sz w:val="20"/>
          <w:szCs w:val="20"/>
          <w:rtl/>
          <w14:ligatures w14:val="none"/>
        </w:rPr>
        <w:t xml:space="preserve"> أظهرت النتائج أن مستوى محو الأمية في الصحة النفسية جاء بدرجة متوسطة، في حين كان مستوى الوصمة الاجتماعية مرتفعًا</w:t>
      </w:r>
      <w:r>
        <w:rPr>
          <w:rFonts w:hint="cs" w:ascii="Times New Roman" w:hAnsi="Times New Roman" w:eastAsia="Times New Roman" w:cs="Times New Roman"/>
          <w:kern w:val="0"/>
          <w:sz w:val="20"/>
          <w:szCs w:val="20"/>
          <w:rtl/>
          <w14:ligatures w14:val="none"/>
        </w:rPr>
        <w:t>،</w:t>
      </w:r>
      <w:r>
        <w:rPr>
          <w:rFonts w:ascii="Times New Roman" w:hAnsi="Times New Roman" w:eastAsia="Times New Roman" w:cs="Times New Roman"/>
          <w:kern w:val="0"/>
          <w:sz w:val="20"/>
          <w:szCs w:val="20"/>
          <w:rtl/>
          <w14:ligatures w14:val="none"/>
        </w:rPr>
        <w:t xml:space="preserve"> كما بينت النتائج عدم وجود فروق ذات دلالة إحصائية تعزى لمتغير الجنس في كلا المتغيرين، مقابل وجود فروق دالة إحصائيًا تعزى للمؤهل العلمي، حيث ارتفع مستوى الوعي وانخفضت الوصمة لدى ذوي المستويات التعليمية الأعلى</w:t>
      </w:r>
      <w:r>
        <w:rPr>
          <w:rFonts w:hint="cs" w:ascii="Times New Roman" w:hAnsi="Times New Roman" w:eastAsia="Times New Roman" w:cs="Times New Roman"/>
          <w:kern w:val="0"/>
          <w:sz w:val="20"/>
          <w:szCs w:val="20"/>
          <w:rtl/>
          <w14:ligatures w14:val="none"/>
        </w:rPr>
        <w:t>،</w:t>
      </w:r>
      <w:r>
        <w:rPr>
          <w:rFonts w:ascii="Times New Roman" w:hAnsi="Times New Roman" w:eastAsia="Times New Roman" w:cs="Times New Roman"/>
          <w:kern w:val="0"/>
          <w:sz w:val="20"/>
          <w:szCs w:val="20"/>
          <w:rtl/>
          <w14:ligatures w14:val="none"/>
        </w:rPr>
        <w:t xml:space="preserve"> كذلك أظهرت النتائج أن الخبرة أو التدريب في مجال الصحة النفسية يسهم في رفع مستوى الوعي، بينما كان تأثيره محدودًا على الوصمة الاجتماعية</w:t>
      </w:r>
      <w:r>
        <w:rPr>
          <w:rFonts w:hint="cs" w:ascii="Times New Roman" w:hAnsi="Times New Roman" w:eastAsia="Times New Roman" w:cs="Times New Roman"/>
          <w:kern w:val="0"/>
          <w:sz w:val="20"/>
          <w:szCs w:val="20"/>
          <w:rtl/>
          <w14:ligatures w14:val="none"/>
        </w:rPr>
        <w:t>،</w:t>
      </w:r>
      <w:r>
        <w:rPr>
          <w:rFonts w:ascii="Times New Roman" w:hAnsi="Times New Roman" w:eastAsia="Times New Roman" w:cs="Times New Roman"/>
          <w:kern w:val="0"/>
          <w:sz w:val="20"/>
          <w:szCs w:val="20"/>
          <w:rtl/>
          <w14:ligatures w14:val="none"/>
        </w:rPr>
        <w:t xml:space="preserve"> وأخيرًا، كشفت النتائج عن وجود علاقة ارتباطية سلبية دالة إحصائيًا بين محو الأمية في الصحة النفسية والوصمة الاجتماعية، حيث تنخفض الوصمة كلما ارتفع مستوى الوعي بالصحة النفسية</w:t>
      </w:r>
      <w:r>
        <w:rPr>
          <w:rFonts w:ascii="Times New Roman" w:hAnsi="Times New Roman" w:eastAsia="Times New Roman" w:cs="Times New Roman"/>
          <w:kern w:val="0"/>
          <w:sz w:val="20"/>
          <w:szCs w:val="20"/>
          <w14:ligatures w14:val="none"/>
        </w:rPr>
        <w:t>.</w:t>
      </w:r>
    </w:p>
    <w:p w14:paraId="51D717C3">
      <w:pPr>
        <w:bidi/>
        <w:spacing w:line="360" w:lineRule="auto"/>
        <w:rPr>
          <w:rFonts w:asciiTheme="majorBidi" w:hAnsiTheme="majorBidi" w:cstheme="majorBidi"/>
          <w:sz w:val="20"/>
          <w:szCs w:val="20"/>
          <w:rtl/>
        </w:rPr>
      </w:pPr>
      <w:r>
        <w:rPr>
          <w:rFonts w:asciiTheme="majorBidi" w:hAnsiTheme="majorBidi" w:cstheme="majorBidi"/>
          <w:b/>
          <w:bCs/>
          <w:sz w:val="20"/>
          <w:szCs w:val="20"/>
          <w:rtl/>
          <w:lang w:bidi="ar-JO"/>
        </w:rPr>
        <w:t xml:space="preserve">الكلمات المفتاحية: </w:t>
      </w:r>
      <w:r>
        <w:rPr>
          <w:rFonts w:asciiTheme="majorBidi" w:hAnsiTheme="majorBidi" w:cstheme="majorBidi"/>
          <w:sz w:val="20"/>
          <w:szCs w:val="20"/>
          <w:rtl/>
        </w:rPr>
        <w:t>تقييم محو الأمية، الصحة النفسية، الوصمة تجاه المرض النفسي، المجتمع الأردني.</w:t>
      </w:r>
    </w:p>
    <w:p w14:paraId="25685580">
      <w:pPr>
        <w:pStyle w:val="10"/>
        <w:keepNext w:val="0"/>
        <w:keepLines w:val="0"/>
        <w:widowControl/>
        <w:suppressLineNumbers w:val="0"/>
        <w:bidi/>
        <w:spacing w:beforeAutospacing="1"/>
        <w:jc w:val="center"/>
        <w:rPr>
          <w:b/>
          <w:bCs/>
          <w:sz w:val="20"/>
          <w:szCs w:val="20"/>
        </w:rPr>
      </w:pPr>
      <w:r>
        <w:rPr>
          <w:b/>
          <w:bCs/>
          <w:sz w:val="20"/>
          <w:szCs w:val="20"/>
        </w:rPr>
        <w:t>Sara Nedal Hashem Idmaidi</w:t>
      </w:r>
    </w:p>
    <w:p w14:paraId="0D1EB2C9">
      <w:pPr>
        <w:pStyle w:val="10"/>
        <w:keepNext w:val="0"/>
        <w:keepLines w:val="0"/>
        <w:widowControl/>
        <w:suppressLineNumbers w:val="0"/>
        <w:bidi/>
        <w:spacing w:beforeAutospacing="1"/>
        <w:jc w:val="center"/>
        <w:rPr>
          <w:rFonts w:asciiTheme="majorBidi" w:hAnsiTheme="majorBidi" w:cstheme="majorBidi"/>
          <w:sz w:val="20"/>
          <w:szCs w:val="20"/>
          <w:rtl/>
        </w:rPr>
      </w:pPr>
      <w:r>
        <w:rPr>
          <w:b/>
          <w:bCs/>
          <w:sz w:val="20"/>
          <w:szCs w:val="20"/>
        </w:rPr>
        <w:t>Master’s Degree in Psychological and Educational Counseling</w:t>
      </w:r>
    </w:p>
    <w:p w14:paraId="17BF1213">
      <w:pPr>
        <w:bidi/>
        <w:spacing w:line="360" w:lineRule="auto"/>
        <w:jc w:val="center"/>
        <w:rPr>
          <w:rFonts w:asciiTheme="majorBidi" w:hAnsiTheme="majorBidi" w:cstheme="majorBidi"/>
          <w:sz w:val="20"/>
          <w:szCs w:val="20"/>
          <w:rtl/>
        </w:rPr>
      </w:pPr>
      <w:r>
        <w:rPr>
          <w:rFonts w:asciiTheme="majorBidi" w:hAnsiTheme="majorBidi" w:cstheme="majorBidi"/>
          <w:b/>
          <w:bCs/>
          <w:sz w:val="20"/>
          <w:szCs w:val="20"/>
          <w:lang w:bidi="ar-JO"/>
        </w:rPr>
        <w:t>Assessment of Mental Health Literacy and Stigma Toward Mental Illness Among a Sample of the Jordanian Community</w:t>
      </w:r>
    </w:p>
    <w:p w14:paraId="1D973EFA">
      <w:pPr>
        <w:pStyle w:val="10"/>
        <w:jc w:val="lowKashida"/>
        <w:rPr>
          <w:rFonts w:eastAsia="Times New Roman"/>
          <w:kern w:val="0"/>
          <w:sz w:val="20"/>
          <w:szCs w:val="20"/>
          <w:rtl/>
          <w14:ligatures w14:val="none"/>
        </w:rPr>
      </w:pPr>
      <w:r>
        <w:rPr>
          <w:rFonts w:eastAsia="Times New Roman"/>
          <w:b/>
          <w:bCs/>
          <w:kern w:val="0"/>
          <w:sz w:val="20"/>
          <w:szCs w:val="20"/>
          <w14:ligatures w14:val="none"/>
        </w:rPr>
        <w:t>Abstract:</w:t>
      </w:r>
      <w:r>
        <w:rPr>
          <w:rFonts w:eastAsia="Times New Roman"/>
          <w:kern w:val="0"/>
          <w:sz w:val="20"/>
          <w:szCs w:val="20"/>
          <w14:ligatures w14:val="none"/>
        </w:rPr>
        <w:t xml:space="preserve"> The present study aimed to assess the level of mental health literacy and the stigma toward mental illness among a sample from the Jordanian community. The study employed a descriptive correlational approach and was conducted on a sample of 384 participants. The Mental Health Literacy Scale and the Social Stigma Scale were used as measurement tools. The findings indicated that the level of mental health literacy was moderate, while the level of social stigma toward mental illness was high. The results also showed no statistically significant differences attributed to gender in both variables, whereas significant differences were found based on educational level, with higher education associated with greater awareness and lower stigma. Additionally, prior experience or training in the field of mental health contributed to increased awareness, although its effect on social stigma was limited. Finally, the results revealed a statistically significant negative correlation between mental health literacy and social stigma, indicating that stigma decreases as the level of mental health awareness increases.</w:t>
      </w:r>
    </w:p>
    <w:p w14:paraId="6CA08468">
      <w:pPr>
        <w:spacing w:before="100" w:beforeAutospacing="1" w:after="100" w:afterAutospacing="1" w:line="240" w:lineRule="auto"/>
        <w:rPr>
          <w:rFonts w:ascii="Times New Roman" w:hAnsi="Times New Roman" w:eastAsia="Times New Roman" w:cs="Times New Roman"/>
          <w:kern w:val="0"/>
          <w:sz w:val="20"/>
          <w:szCs w:val="20"/>
          <w14:ligatures w14:val="none"/>
        </w:rPr>
        <w:sectPr>
          <w:headerReference w:type="default" r:id="rId11"/>
          <w:pgBorders w:offsetFrom="page">
            <w:top w:val="single" w:sz="8" w:space="24" w:color="000000"/>
            <w:left w:val="single" w:sz="8" w:space="24" w:color="000000"/>
            <w:bottom w:val="single" w:sz="8" w:space="24" w:color="000000"/>
            <w:right w:val="single" w:sz="8" w:space="24" w:color="000000"/>
          </w:pgBorders>
          <w:footerReference r:id="rId6" w:type="default"/>
          <w:pgSz w:w="12240" w:h="15840"/>
          <w:pgMar w:top="1440" w:right="1440" w:bottom="1440" w:left="1440" w:header="720" w:footer="720" w:gutter="0"/>
          <w:cols w:space="720" w:num="1"/>
          <w:titlePg/>
          <w:docGrid w:linePitch="360" w:charSpace="0"/>
        </w:sectPr>
      </w:pPr>
      <w:r>
        <w:rPr>
          <w:rFonts w:ascii="Times New Roman" w:hAnsi="Times New Roman" w:eastAsia="Times New Roman" w:cs="Times New Roman"/>
          <w:b/>
          <w:bCs/>
          <w:kern w:val="0"/>
          <w:sz w:val="20"/>
          <w:szCs w:val="20"/>
          <w14:ligatures w14:val="none"/>
        </w:rPr>
        <w:t>Keywords:</w:t>
      </w:r>
      <w:r>
        <w:rPr>
          <w:rFonts w:ascii="Times New Roman" w:hAnsi="Times New Roman" w:eastAsia="Times New Roman" w:cs="Times New Roman"/>
          <w:kern w:val="0"/>
          <w:sz w:val="20"/>
          <w:szCs w:val="20"/>
          <w14:ligatures w14:val="none"/>
        </w:rPr>
        <w:t xml:space="preserve"> Mental health literacy assessment, mental health, stigma toward mental illness, Jordanian society.</w:t>
      </w:r>
    </w:p>
    <w:p w14:paraId="65D8F237">
      <w:pPr>
        <w:bidi/>
        <w:spacing w:line="360" w:lineRule="auto"/>
        <w:rPr>
          <w:rFonts w:asciiTheme="majorBidi" w:hAnsiTheme="majorBidi" w:cstheme="majorBidi"/>
          <w:b/>
          <w:bCs/>
          <w:rtl/>
          <w:lang w:bidi="ar-JO"/>
        </w:rPr>
      </w:pPr>
      <w:r>
        <w:rPr>
          <w:rFonts w:asciiTheme="majorBidi" w:hAnsiTheme="majorBidi" w:cstheme="majorBidi"/>
          <w:b/>
          <w:bCs/>
          <w:rtl/>
          <w:lang w:bidi="ar-JO"/>
        </w:rPr>
        <w:t xml:space="preserve">مقدمة </w:t>
      </w:r>
    </w:p>
    <w:p w14:paraId="022CD9B0">
      <w:pPr>
        <w:bidi/>
        <w:spacing w:line="360" w:lineRule="auto"/>
        <w:ind w:firstLine="720"/>
        <w:jc w:val="lowKashida"/>
        <w:rPr>
          <w:rFonts w:asciiTheme="majorBidi" w:hAnsiTheme="majorBidi" w:cstheme="majorBidi"/>
          <w:lang w:bidi="ar-JO"/>
        </w:rPr>
      </w:pPr>
      <w:r>
        <w:rPr>
          <w:rFonts w:asciiTheme="majorBidi" w:hAnsiTheme="majorBidi" w:cstheme="majorBidi"/>
          <w:rtl/>
        </w:rPr>
        <w:t>في ظلّ تسارع وتيرة الحياة وتعقّد تحدياتها النفسية والاجتماعية، تبرز الصحة النفسية بوصفها حجر الأساس في بناء إنسان متوازن وقادر على التكيف، ويغدو محو الأمية في مجال الصحة النفسية ضرورة ملحّة لا ترفًا معرفيًا، لما يمثّله من وعيٍ يُمكّن الأفراد من فهم الاضطرابات النفسية والتعرّف إلى أعراضها وطرق التعامل معها بوعي ومسؤولية، غير أنّ هذا الوعي يصطدم بحاجزٍ صامت يتمثل في الوصمة تجاه المرض النفسي، تلك النظرة السلبية المتجذّرة التي تُثقل كاهل الأفراد وتدفعهم إلى الصمت بدل طلب العون، وفي المجتمع الأردني، تتشابك هذه الوصمة مع موروثات ثقافية واجتماعية تُسهم في تشكيل اتجاهات قد تُعيق التقدم نحو بيئة أكثر تفهّمًا واحتواءً، ومن هنا تنطلق هذه الدراسة لتسليط الضوء على واقع محو الأمية في الصحة النفسية ومستوى الوصمة تجاه المرض النفسي لدى عينة من المجتمع الأردني، سعيًا لفهم أعمق يمهّد الطريق نحو تدخلات توعوية فاعلة تُعزّز الوعي، وتكسر حواجز الصمت، وتدعم الصحة النفسية في المجتمع</w:t>
      </w:r>
      <w:r>
        <w:rPr>
          <w:rFonts w:asciiTheme="majorBidi" w:hAnsiTheme="majorBidi" w:cstheme="majorBidi"/>
          <w:lang w:bidi="ar-JO"/>
        </w:rPr>
        <w:t>.</w:t>
      </w:r>
    </w:p>
    <w:p w14:paraId="681F356D">
      <w:pPr>
        <w:bidi/>
        <w:spacing w:line="360" w:lineRule="auto"/>
        <w:ind w:firstLine="720"/>
        <w:jc w:val="lowKashida"/>
        <w:rPr>
          <w:rFonts w:asciiTheme="majorBidi" w:hAnsiTheme="majorBidi" w:cstheme="majorBidi"/>
        </w:rPr>
      </w:pPr>
      <w:r>
        <w:rPr>
          <w:rFonts w:asciiTheme="majorBidi" w:hAnsiTheme="majorBidi" w:cstheme="majorBidi"/>
          <w:rtl/>
        </w:rPr>
        <w:t xml:space="preserve">يعاني حوالي </w:t>
      </w:r>
      <w:r>
        <w:rPr>
          <w:rFonts w:hint="cs" w:asciiTheme="majorBidi" w:hAnsiTheme="majorBidi" w:cstheme="majorBidi"/>
          <w:rtl/>
        </w:rPr>
        <w:t>(</w:t>
      </w:r>
      <w:r>
        <w:rPr>
          <w:rFonts w:asciiTheme="majorBidi" w:hAnsiTheme="majorBidi" w:cstheme="majorBidi"/>
          <w:rtl/>
        </w:rPr>
        <w:t>970</w:t>
      </w:r>
      <w:r>
        <w:rPr>
          <w:rFonts w:hint="cs" w:asciiTheme="majorBidi" w:hAnsiTheme="majorBidi" w:cstheme="majorBidi"/>
          <w:rtl/>
        </w:rPr>
        <w:t xml:space="preserve">) </w:t>
      </w:r>
      <w:r>
        <w:rPr>
          <w:rFonts w:asciiTheme="majorBidi" w:hAnsiTheme="majorBidi" w:cstheme="majorBidi"/>
          <w:rtl/>
        </w:rPr>
        <w:t>مليون شخص حول العالم – أي واحد من كل ثمانية أشخاص – من مرض نفسي، وتُعد اضطرابات القلق والاكتئاب الأكثر شيوعًا</w:t>
      </w:r>
      <w:r>
        <w:rPr>
          <w:rFonts w:asciiTheme="majorBidi" w:hAnsiTheme="majorBidi" w:cstheme="majorBidi"/>
          <w:lang w:bidi="ar-JO"/>
        </w:rPr>
        <w:t xml:space="preserve"> .(WHO, 2022) </w:t>
      </w:r>
      <w:r>
        <w:rPr>
          <w:rFonts w:asciiTheme="majorBidi" w:hAnsiTheme="majorBidi" w:cstheme="majorBidi"/>
          <w:rtl/>
          <w:lang w:bidi="ar-JO"/>
        </w:rPr>
        <w:t>و</w:t>
      </w:r>
      <w:r>
        <w:rPr>
          <w:rFonts w:asciiTheme="majorBidi" w:hAnsiTheme="majorBidi" w:cstheme="majorBidi"/>
          <w:rtl/>
        </w:rPr>
        <w:t xml:space="preserve">في الأردن، يُقدّر أن </w:t>
      </w:r>
      <w:r>
        <w:rPr>
          <w:rFonts w:asciiTheme="majorBidi" w:hAnsiTheme="majorBidi" w:cstheme="majorBidi"/>
        </w:rPr>
        <w:t>)</w:t>
      </w:r>
      <w:r>
        <w:rPr>
          <w:rFonts w:hint="cs" w:asciiTheme="majorBidi" w:hAnsiTheme="majorBidi" w:cstheme="majorBidi"/>
          <w:rtl/>
        </w:rPr>
        <w:t>1.75</w:t>
      </w:r>
      <w:r>
        <w:rPr>
          <w:rFonts w:hint="cs" w:asciiTheme="majorBidi" w:hAnsiTheme="majorBidi" w:cstheme="majorBidi"/>
          <w:rtl/>
          <w:lang w:bidi="ar-JO"/>
        </w:rPr>
        <w:t>)</w:t>
      </w:r>
      <w:r>
        <w:rPr>
          <w:rFonts w:asciiTheme="majorBidi" w:hAnsiTheme="majorBidi" w:cstheme="majorBidi"/>
          <w:rtl/>
        </w:rPr>
        <w:t xml:space="preserve"> مليون شخص – أي حوالي </w:t>
      </w:r>
      <w:r>
        <w:rPr>
          <w:rFonts w:hint="cs" w:asciiTheme="majorBidi" w:hAnsiTheme="majorBidi" w:cstheme="majorBidi"/>
          <w:rtl/>
          <w:lang w:bidi="ar-JO"/>
        </w:rPr>
        <w:t>(20%) من</w:t>
      </w:r>
      <w:r>
        <w:rPr>
          <w:rFonts w:asciiTheme="majorBidi" w:hAnsiTheme="majorBidi" w:cstheme="majorBidi"/>
          <w:rtl/>
        </w:rPr>
        <w:t xml:space="preserve"> سكان البلاد – يعانون من اضطرابات نفسية</w:t>
      </w:r>
      <w:r>
        <w:rPr>
          <w:rFonts w:asciiTheme="majorBidi" w:hAnsiTheme="majorBidi" w:cstheme="majorBidi"/>
          <w:lang w:bidi="ar-JO"/>
        </w:rPr>
        <w:t>.(Tayseer, 2023)</w:t>
      </w:r>
      <w:r>
        <w:rPr>
          <w:rFonts w:asciiTheme="majorBidi" w:hAnsiTheme="majorBidi" w:cstheme="majorBidi"/>
          <w:rtl/>
          <w:lang w:bidi="ar-JO"/>
        </w:rPr>
        <w:t xml:space="preserve"> </w:t>
      </w:r>
      <w:r>
        <w:rPr>
          <w:rFonts w:asciiTheme="majorBidi" w:hAnsiTheme="majorBidi" w:cstheme="majorBidi"/>
          <w:rtl/>
        </w:rPr>
        <w:t>وتُشير هذه الإحصاءات بوضوح إلى ارتفاع مقلق في انتشار الاضطرابات النفسية في الشرق الأوسط والأردن، مقارنة بالتقديرات العالمية، مما يُبرز الحاجة الملحة للتركيز على قضايا الصحة النفسية في الأبحاث المستقبلية</w:t>
      </w:r>
      <w:r>
        <w:rPr>
          <w:rFonts w:hint="cs" w:asciiTheme="majorBidi" w:hAnsiTheme="majorBidi" w:cstheme="majorBidi"/>
          <w:rtl/>
        </w:rPr>
        <w:t xml:space="preserve">، اذ </w:t>
      </w:r>
      <w:r>
        <w:rPr>
          <w:rFonts w:asciiTheme="majorBidi" w:hAnsiTheme="majorBidi" w:cstheme="majorBidi"/>
          <w:rtl/>
        </w:rPr>
        <w:t>يُعد البحث في مجال الثقافة الصحية النفسية</w:t>
      </w:r>
      <w:r>
        <w:rPr>
          <w:rFonts w:asciiTheme="majorBidi" w:hAnsiTheme="majorBidi" w:cstheme="majorBidi"/>
          <w:lang w:bidi="ar-JO"/>
        </w:rPr>
        <w:t xml:space="preserve"> </w:t>
      </w:r>
      <w:r>
        <w:rPr>
          <w:rFonts w:asciiTheme="majorBidi" w:hAnsiTheme="majorBidi" w:cstheme="majorBidi"/>
          <w:rtl/>
        </w:rPr>
        <w:t>في الأردن محدودًا، كما تفتقر الدراسات إلى أدوات مقننة ومُثبتة الصلاحية لقياس هذه الثقافة</w:t>
      </w:r>
      <w:r>
        <w:rPr>
          <w:rFonts w:asciiTheme="majorBidi" w:hAnsiTheme="majorBidi" w:cstheme="majorBidi"/>
          <w:lang w:bidi="ar-JO"/>
        </w:rPr>
        <w:t xml:space="preserve"> </w:t>
      </w:r>
      <w:r>
        <w:rPr>
          <w:rFonts w:hint="cs" w:asciiTheme="majorBidi" w:hAnsiTheme="majorBidi" w:cstheme="majorBidi"/>
          <w:rtl/>
        </w:rPr>
        <w:t xml:space="preserve">، اذ تم </w:t>
      </w:r>
      <w:r>
        <w:rPr>
          <w:rFonts w:asciiTheme="majorBidi" w:hAnsiTheme="majorBidi" w:cstheme="majorBidi"/>
          <w:rtl/>
        </w:rPr>
        <w:t>تقديم مفهوم الثقافة الصحية النفسية</w:t>
      </w:r>
      <w:r>
        <w:rPr>
          <w:rFonts w:asciiTheme="majorBidi" w:hAnsiTheme="majorBidi" w:cstheme="majorBidi"/>
          <w:lang w:bidi="ar-JO"/>
        </w:rPr>
        <w:t xml:space="preserve"> (Mental Health Literacy - MHL) </w:t>
      </w:r>
      <w:r>
        <w:rPr>
          <w:rFonts w:asciiTheme="majorBidi" w:hAnsiTheme="majorBidi" w:cstheme="majorBidi"/>
          <w:rtl/>
        </w:rPr>
        <w:t xml:space="preserve">لأول مرة في عام </w:t>
      </w:r>
      <w:r>
        <w:rPr>
          <w:rFonts w:hint="cs" w:asciiTheme="majorBidi" w:hAnsiTheme="majorBidi" w:cstheme="majorBidi"/>
          <w:rtl/>
          <w:lang w:bidi="ar-JO"/>
        </w:rPr>
        <w:t>(</w:t>
      </w:r>
      <w:r>
        <w:rPr>
          <w:rFonts w:asciiTheme="majorBidi" w:hAnsiTheme="majorBidi" w:cstheme="majorBidi"/>
          <w:rtl/>
        </w:rPr>
        <w:t>1997</w:t>
      </w:r>
      <w:r>
        <w:rPr>
          <w:rFonts w:hint="cs" w:asciiTheme="majorBidi" w:hAnsiTheme="majorBidi" w:cstheme="majorBidi"/>
          <w:rtl/>
          <w:lang w:bidi="ar-JO"/>
        </w:rPr>
        <w:t>)</w:t>
      </w:r>
      <w:r>
        <w:rPr>
          <w:rFonts w:asciiTheme="majorBidi" w:hAnsiTheme="majorBidi" w:cstheme="majorBidi"/>
          <w:rtl/>
        </w:rPr>
        <w:t>، ويشير إلى القدرة على التعرف على الحالات النفسية والمعتقدات المتعلقة بفعالية علاجها</w:t>
      </w:r>
      <w:r>
        <w:rPr>
          <w:rFonts w:asciiTheme="majorBidi" w:hAnsiTheme="majorBidi" w:cstheme="majorBidi"/>
          <w:rtl/>
          <w:lang w:bidi="ar-JO"/>
        </w:rPr>
        <w:t xml:space="preserve"> </w:t>
      </w:r>
      <w:r>
        <w:rPr>
          <w:rFonts w:asciiTheme="majorBidi" w:hAnsiTheme="majorBidi" w:cstheme="majorBidi"/>
          <w:rtl/>
        </w:rPr>
        <w:t>(2024</w:t>
      </w:r>
      <w:r>
        <w:rPr>
          <w:rFonts w:asciiTheme="majorBidi" w:hAnsiTheme="majorBidi" w:cstheme="majorBidi"/>
          <w:shd w:val="clear" w:color="auto" w:fill="FFFFFF"/>
        </w:rPr>
        <w:t xml:space="preserve"> </w:t>
      </w:r>
      <w:r>
        <w:rPr>
          <w:rFonts w:asciiTheme="majorBidi" w:hAnsiTheme="majorBidi" w:cstheme="majorBidi"/>
        </w:rPr>
        <w:t>Al-Qerem et al, </w:t>
      </w:r>
      <w:r>
        <w:rPr>
          <w:rFonts w:asciiTheme="majorBidi" w:hAnsiTheme="majorBidi" w:cstheme="majorBidi"/>
          <w:rtl/>
        </w:rPr>
        <w:t>)</w:t>
      </w:r>
      <w:r>
        <w:rPr>
          <w:rFonts w:hint="cs" w:asciiTheme="majorBidi" w:hAnsiTheme="majorBidi" w:cstheme="majorBidi"/>
          <w:rtl/>
        </w:rPr>
        <w:t xml:space="preserve">.كما </w:t>
      </w:r>
      <w:r>
        <w:rPr>
          <w:rFonts w:asciiTheme="majorBidi" w:hAnsiTheme="majorBidi" w:cstheme="majorBidi"/>
          <w:rtl/>
        </w:rPr>
        <w:t>يُعد انخفاض مستوى الثقافة الصحية النفسية مشكلة، ليس فقط لأنه يُمثل حاجزًا سلوكيًا أمام التدخل العلاجي، بل لأنه يُسهم أيضًا في تعزيز وصمة العار المتعلقة بالصحة النفسية</w:t>
      </w:r>
      <w:r>
        <w:rPr>
          <w:rFonts w:hint="cs" w:asciiTheme="majorBidi" w:hAnsiTheme="majorBidi" w:cstheme="majorBidi"/>
          <w:rtl/>
        </w:rPr>
        <w:t xml:space="preserve">، مما </w:t>
      </w:r>
      <w:r>
        <w:rPr>
          <w:rFonts w:asciiTheme="majorBidi" w:hAnsiTheme="majorBidi" w:cstheme="majorBidi"/>
          <w:rtl/>
        </w:rPr>
        <w:t>يؤدي إلى تقليل فرص العلاج وامتناع الأفراد عن السعي للحصول على الدعم النفسي</w:t>
      </w:r>
      <w:r>
        <w:rPr>
          <w:rFonts w:asciiTheme="majorBidi" w:hAnsiTheme="majorBidi" w:cstheme="majorBidi"/>
          <w:lang w:bidi="ar-JO"/>
        </w:rPr>
        <w:t xml:space="preserve"> .(Tambling et al., 2023)</w:t>
      </w:r>
    </w:p>
    <w:p w14:paraId="4417EF9C">
      <w:pPr>
        <w:bidi/>
        <w:spacing w:line="360" w:lineRule="auto"/>
        <w:ind w:firstLine="720"/>
        <w:jc w:val="lowKashida"/>
        <w:rPr>
          <w:rFonts w:asciiTheme="majorBidi" w:hAnsiTheme="majorBidi" w:cstheme="majorBidi"/>
        </w:rPr>
      </w:pPr>
      <w:r>
        <w:rPr>
          <w:rFonts w:asciiTheme="majorBidi" w:hAnsiTheme="majorBidi" w:cstheme="majorBidi"/>
          <w:rtl/>
        </w:rPr>
        <w:t>وبفعل وصمة العار المرتبطة بعيادات الصحة النفسية، يُلاحظ أن نسبة كبيرة من المرضى الذين يراجعون هذه العيادات لا يستفيدون بالشكل الأمثل من الخدمات المقدمة، أو لا يلتزمون بخطط العلاج المقررة كما ينبغي</w:t>
      </w:r>
      <w:r>
        <w:rPr>
          <w:rFonts w:hint="cs" w:asciiTheme="majorBidi" w:hAnsiTheme="majorBidi" w:cstheme="majorBidi"/>
          <w:rtl/>
        </w:rPr>
        <w:t>،</w:t>
      </w:r>
      <w:r>
        <w:rPr>
          <w:rFonts w:asciiTheme="majorBidi" w:hAnsiTheme="majorBidi" w:cstheme="majorBidi"/>
          <w:rtl/>
        </w:rPr>
        <w:t xml:space="preserve"> وفي السياق الأردني، تشير الأدلة إلى أن الوصمة الاجتماعية تُعد سببًا رئيسيًا في نحو </w:t>
      </w:r>
      <w:r>
        <w:rPr>
          <w:rFonts w:hint="cs" w:asciiTheme="majorBidi" w:hAnsiTheme="majorBidi" w:cstheme="majorBidi"/>
          <w:rtl/>
        </w:rPr>
        <w:t xml:space="preserve"> (41%) من</w:t>
      </w:r>
      <w:r>
        <w:rPr>
          <w:rFonts w:asciiTheme="majorBidi" w:hAnsiTheme="majorBidi" w:cstheme="majorBidi"/>
          <w:rtl/>
        </w:rPr>
        <w:t xml:space="preserve"> حالات انقطاع المرضى عن جلسات الرعاية النفسية، وتأجيل المواعيد، وضعف الالتزام بالعلاج، أو بطء التحسن</w:t>
      </w:r>
      <w:r>
        <w:rPr>
          <w:rFonts w:hint="cs" w:asciiTheme="majorBidi" w:hAnsiTheme="majorBidi" w:cstheme="majorBidi"/>
          <w:rtl/>
        </w:rPr>
        <w:t xml:space="preserve">، </w:t>
      </w:r>
      <w:r>
        <w:rPr>
          <w:rFonts w:asciiTheme="majorBidi" w:hAnsiTheme="majorBidi" w:cstheme="majorBidi"/>
          <w:rtl/>
        </w:rPr>
        <w:t xml:space="preserve"> كما تُعد قضايا الصحة النفسية في المجتمع الأردني من الموضوعات التي تحيط بها درجة مرتفعة من الوصمة الاجتماعية، ويُعزى ذلك إلى عدة عوامل، من أبرزها تصنيف الأعراض ضمن إطار "المرض النفسي"، وإرجاعها إلى أسباب بيولوجية، إلى جانب شيوع تصورات سلبية تنظر إلى المرضى النفسيين على أنهم مصدر خطر، فضلًا عن تأثير بعض العوامل الديموغرافية والاجتماعية</w:t>
      </w:r>
      <w:r>
        <w:rPr>
          <w:rFonts w:hint="cs" w:asciiTheme="majorBidi" w:hAnsiTheme="majorBidi" w:cstheme="majorBidi"/>
          <w:rtl/>
        </w:rPr>
        <w:t>،</w:t>
      </w:r>
      <w:r>
        <w:rPr>
          <w:rFonts w:asciiTheme="majorBidi" w:hAnsiTheme="majorBidi" w:cstheme="majorBidi"/>
          <w:rtl/>
        </w:rPr>
        <w:t xml:space="preserve"> ومن شأن هذه الوصمة أن تؤدي إلى تردد الأفراد في طلب المساعدة النفسية أو الإفصاح عن معاناتهم، الأمر الذي ينعكس سلبًا على مستوى محو الأمية في الصحة النفسية لديهم</w:t>
      </w:r>
      <w:r>
        <w:rPr>
          <w:rFonts w:asciiTheme="majorBidi" w:hAnsiTheme="majorBidi" w:cstheme="majorBidi"/>
        </w:rPr>
        <w:t xml:space="preserve"> .(Dmour et al., 2020)</w:t>
      </w:r>
    </w:p>
    <w:p w14:paraId="305C9E43">
      <w:pPr>
        <w:bidi/>
        <w:spacing w:line="360" w:lineRule="auto"/>
        <w:rPr>
          <w:rFonts w:asciiTheme="majorBidi" w:hAnsiTheme="majorBidi" w:cstheme="majorBidi"/>
          <w:highlight w:val="yellow"/>
          <w:rtl/>
          <w:lang w:bidi="ar-JO"/>
        </w:rPr>
      </w:pPr>
    </w:p>
    <w:p w14:paraId="5C054792">
      <w:pPr>
        <w:bidi/>
        <w:spacing w:line="360" w:lineRule="auto"/>
        <w:rPr>
          <w:rFonts w:asciiTheme="majorBidi" w:hAnsiTheme="majorBidi" w:cstheme="majorBidi"/>
          <w:b/>
          <w:bCs/>
          <w:rtl/>
          <w:lang w:bidi="ar-JO"/>
        </w:rPr>
      </w:pPr>
      <w:r>
        <w:rPr>
          <w:rFonts w:asciiTheme="majorBidi" w:hAnsiTheme="majorBidi" w:cstheme="majorBidi"/>
          <w:b/>
          <w:bCs/>
          <w:rtl/>
          <w:lang w:bidi="ar-JO"/>
        </w:rPr>
        <w:t xml:space="preserve">الدراسات السابقة </w:t>
      </w:r>
    </w:p>
    <w:p w14:paraId="7C0EEF5C">
      <w:pPr>
        <w:bidi/>
        <w:spacing w:line="360" w:lineRule="auto"/>
        <w:ind w:firstLine="720"/>
        <w:jc w:val="lowKashida"/>
        <w:rPr>
          <w:rFonts w:asciiTheme="majorBidi" w:hAnsiTheme="majorBidi" w:cstheme="majorBidi"/>
        </w:rPr>
      </w:pPr>
      <w:r>
        <w:rPr>
          <w:rFonts w:asciiTheme="majorBidi" w:hAnsiTheme="majorBidi" w:cstheme="majorBidi"/>
          <w:rtl/>
        </w:rPr>
        <w:t>هدفت دراسة جير وسليمي</w:t>
      </w:r>
      <w:r>
        <w:rPr>
          <w:rFonts w:asciiTheme="majorBidi" w:hAnsiTheme="majorBidi" w:cstheme="majorBidi"/>
        </w:rPr>
        <w:t xml:space="preserve"> (Gere &amp; Salimi, 2025) </w:t>
      </w:r>
      <w:r>
        <w:rPr>
          <w:rFonts w:asciiTheme="majorBidi" w:hAnsiTheme="majorBidi" w:cstheme="majorBidi"/>
          <w:rtl/>
        </w:rPr>
        <w:t>إلى استكشاف العلاقات بين الوعي بالصحة النفسية، والوصمة، وسلوك طلب المساعدة لدى الطلاب السود الذكور في مؤسسات الجامعات التاريخية للسود</w:t>
      </w:r>
      <w:r>
        <w:rPr>
          <w:rFonts w:asciiTheme="majorBidi" w:hAnsiTheme="majorBidi" w:cstheme="majorBidi"/>
        </w:rPr>
        <w:t xml:space="preserve"> (HBCUs) </w:t>
      </w:r>
      <w:r>
        <w:rPr>
          <w:rFonts w:asciiTheme="majorBidi" w:hAnsiTheme="majorBidi" w:cstheme="majorBidi"/>
          <w:rtl/>
        </w:rPr>
        <w:t>في الولايات المتحدة الأمريكية</w:t>
      </w:r>
      <w:r>
        <w:rPr>
          <w:rFonts w:hint="cs" w:asciiTheme="majorBidi" w:hAnsiTheme="majorBidi" w:cstheme="majorBidi"/>
          <w:rtl/>
        </w:rPr>
        <w:t xml:space="preserve"> </w:t>
      </w:r>
      <w:r>
        <w:rPr>
          <w:rFonts w:asciiTheme="majorBidi" w:hAnsiTheme="majorBidi" w:cstheme="majorBidi"/>
          <w:rtl/>
        </w:rPr>
        <w:t>واعتمدت على عينة من الطلاب ذوي الأصول الإفريقية والأمريكيين السود في إحدى الجامعات الكبرى الواقعة في الجزء الشرقي من الولايات المتحدة، حيث بلغ عدد الطلبة المسجلين في الجامعة (2384) طالبًا وفق بيانات عام 2022. وأظهرت النتائج أن ارتفاع مستوى المعرفة بالصحة النفسية يرتبط بزيادة سلوك طلب المساعدة بشكل متكرر، كما تبين وجود علاقة إيجابية بين طلب المساعدة وانخفاض مستويات الوصمة، مما يؤكد أهمية تعزيز الوعي بالصحة النفسية لدعم السلوكيات الإيجابية المرتبطة بطلب العلاج وتقليل الوصمة</w:t>
      </w:r>
      <w:r>
        <w:rPr>
          <w:rFonts w:asciiTheme="majorBidi" w:hAnsiTheme="majorBidi" w:cstheme="majorBidi"/>
        </w:rPr>
        <w:t>.</w:t>
      </w:r>
    </w:p>
    <w:p w14:paraId="3E975366">
      <w:pPr>
        <w:bidi/>
        <w:spacing w:line="360" w:lineRule="auto"/>
        <w:ind w:firstLine="720"/>
        <w:jc w:val="lowKashida"/>
        <w:rPr>
          <w:rFonts w:asciiTheme="majorBidi" w:hAnsiTheme="majorBidi" w:cstheme="majorBidi"/>
        </w:rPr>
      </w:pPr>
      <w:r>
        <w:rPr>
          <w:rFonts w:hint="cs" w:asciiTheme="majorBidi" w:hAnsiTheme="majorBidi" w:cstheme="majorBidi"/>
          <w:rtl/>
        </w:rPr>
        <w:t xml:space="preserve">كما </w:t>
      </w:r>
      <w:r>
        <w:rPr>
          <w:rFonts w:asciiTheme="majorBidi" w:hAnsiTheme="majorBidi" w:cstheme="majorBidi"/>
          <w:rtl/>
        </w:rPr>
        <w:t>هدفت دراسة القريم وآخرون</w:t>
      </w:r>
      <w:r>
        <w:rPr>
          <w:rFonts w:asciiTheme="majorBidi" w:hAnsiTheme="majorBidi" w:cstheme="majorBidi"/>
        </w:rPr>
        <w:t xml:space="preserve"> (Al-Qerem et al., 2024) </w:t>
      </w:r>
      <w:r>
        <w:rPr>
          <w:rFonts w:asciiTheme="majorBidi" w:hAnsiTheme="majorBidi" w:cstheme="majorBidi"/>
          <w:rtl/>
        </w:rPr>
        <w:t>إلى التحقق من صلاحية النسخة الأردنية من مقياس الثقافة الصحية النفسية</w:t>
      </w:r>
      <w:r>
        <w:rPr>
          <w:rFonts w:asciiTheme="majorBidi" w:hAnsiTheme="majorBidi" w:cstheme="majorBidi"/>
        </w:rPr>
        <w:t xml:space="preserve"> (MHLS)</w:t>
      </w:r>
      <w:r>
        <w:rPr>
          <w:rFonts w:asciiTheme="majorBidi" w:hAnsiTheme="majorBidi" w:cstheme="majorBidi"/>
          <w:rtl/>
        </w:rPr>
        <w:t xml:space="preserve">، بالإضافة إلى التعرف على مستوى الثقافة الصحية النفسية لدى الأفراد في الأردن. وقد اتبعت الدراسة المنهج الوصفي، واعتمدت على عينة مكونة من (974) مشاركًا تم جمع بياناتهم إلكترونيًا عبر استبيان نُشر من خلال منصات التواصل الاجتماعي، حيث بلغت نسبة الإناث (74.4%)، ومتوسط العمر (27) عامًا. وأظهرت النتائج أن مستوى الثقافة الصحية النفسية جاء بدرجة متوسطة بمتوسط (71.1%)، كما أظهر التحليل العاملي أن أفضل نموذج يتكون من (27) بندًا موزعة على أربعة عوامل، وأكد تحليل راش تمتع المقياس بدرجة عالية من الموثوقية. كما بينت النتائج وجود علاقة دالة بين المستوى التعليمي والدخل والحالة الاجتماعية ومستوى الثقافة الصحية النفسية، حيث ارتفعت لدى الأفراد ذوي المستويات التعليمية الأعلى. </w:t>
      </w:r>
    </w:p>
    <w:p w14:paraId="0464B8A3">
      <w:pPr>
        <w:bidi/>
        <w:spacing w:line="360" w:lineRule="auto"/>
        <w:ind w:firstLine="720"/>
        <w:jc w:val="lowKashida"/>
        <w:rPr>
          <w:rFonts w:asciiTheme="majorBidi" w:hAnsiTheme="majorBidi" w:cstheme="majorBidi"/>
        </w:rPr>
      </w:pPr>
      <w:r>
        <w:rPr>
          <w:rFonts w:hint="cs" w:asciiTheme="majorBidi" w:hAnsiTheme="majorBidi" w:cstheme="majorBidi"/>
          <w:rtl/>
        </w:rPr>
        <w:t xml:space="preserve">فيما </w:t>
      </w:r>
      <w:r>
        <w:rPr>
          <w:rFonts w:asciiTheme="majorBidi" w:hAnsiTheme="majorBidi" w:cstheme="majorBidi"/>
          <w:rtl/>
        </w:rPr>
        <w:t>هدفت دراسة كوترا وآخرون</w:t>
      </w:r>
      <w:r>
        <w:rPr>
          <w:rFonts w:asciiTheme="majorBidi" w:hAnsiTheme="majorBidi" w:cstheme="majorBidi"/>
        </w:rPr>
        <w:t xml:space="preserve"> (Koutra et al., 2024) </w:t>
      </w:r>
      <w:r>
        <w:rPr>
          <w:rFonts w:asciiTheme="majorBidi" w:hAnsiTheme="majorBidi" w:cstheme="majorBidi"/>
          <w:rtl/>
        </w:rPr>
        <w:t>إلى استكشاف العلاقة بين الوعي بالصحة النفسية ومواقف الطلبة الجامعيين تجاه المرض النفسي، بالإضافة إلى وصمة العار الذاتية المرتبطة بطلب العلاج النفسي في اليونان. وقد اتبعت الدراسة المنهج الوصفي الارتباطي، واعتمدت على عينة مكونة من (485) طالبًا جامعيًا تم اختيارهم من جامعة إقليمية، حيث بلغت نسبة الذكور (24.5%) والإناث (75.5%)،. وتم جمع البيانات باستخدام مقياس الوعي بالصحة النفسية</w:t>
      </w:r>
      <w:r>
        <w:rPr>
          <w:rFonts w:asciiTheme="majorBidi" w:hAnsiTheme="majorBidi" w:cstheme="majorBidi"/>
        </w:rPr>
        <w:t xml:space="preserve"> (MHLS)</w:t>
      </w:r>
      <w:r>
        <w:rPr>
          <w:rFonts w:asciiTheme="majorBidi" w:hAnsiTheme="majorBidi" w:cstheme="majorBidi"/>
          <w:rtl/>
        </w:rPr>
        <w:t>، ومقياس المواقف تجاه المرض النفسي الشديد</w:t>
      </w:r>
      <w:r>
        <w:rPr>
          <w:rFonts w:asciiTheme="majorBidi" w:hAnsiTheme="majorBidi" w:cstheme="majorBidi"/>
        </w:rPr>
        <w:t xml:space="preserve"> (ASMI)</w:t>
      </w:r>
      <w:r>
        <w:rPr>
          <w:rFonts w:asciiTheme="majorBidi" w:hAnsiTheme="majorBidi" w:cstheme="majorBidi"/>
          <w:rtl/>
        </w:rPr>
        <w:t>، ومقياس وصمة العار الذاتية لطلب المساعدة</w:t>
      </w:r>
      <w:r>
        <w:rPr>
          <w:rFonts w:asciiTheme="majorBidi" w:hAnsiTheme="majorBidi" w:cstheme="majorBidi"/>
        </w:rPr>
        <w:t xml:space="preserve"> (SSOSH). </w:t>
      </w:r>
      <w:r>
        <w:rPr>
          <w:rFonts w:asciiTheme="majorBidi" w:hAnsiTheme="majorBidi" w:cstheme="majorBidi"/>
          <w:rtl/>
        </w:rPr>
        <w:t>وأظهرت النتائج وجود علاقة إيجابية بين مستوى الوعي بالصحة النفسية وثلاثة أبعاد من مقياس المواقف، هي التنميط والتفاؤل والقدرة على التكيف، إضافة إلى وجود علاقة سلبية مع الوصمة الذاتية المرتبطة بطلب المساعدة. كما بينت تحليلات الانحدار أن الطلبة ذوي الوعي المرتفع بالصحة النفسية أظهروا مستويات أقل من الوصمة واتجاهات أكثر إيجابية نحو المرض النفسي</w:t>
      </w:r>
      <w:r>
        <w:rPr>
          <w:rFonts w:hint="cs" w:asciiTheme="majorBidi" w:hAnsiTheme="majorBidi" w:cstheme="majorBidi"/>
          <w:rtl/>
        </w:rPr>
        <w:t>.</w:t>
      </w:r>
    </w:p>
    <w:p w14:paraId="3D755B7C">
      <w:pPr>
        <w:bidi/>
        <w:spacing w:line="360" w:lineRule="auto"/>
        <w:ind w:firstLine="720"/>
        <w:jc w:val="lowKashida"/>
        <w:rPr>
          <w:rFonts w:asciiTheme="majorBidi" w:hAnsiTheme="majorBidi" w:cstheme="majorBidi"/>
          <w:rtl/>
          <w:lang w:bidi="ar-JO"/>
        </w:rPr>
      </w:pPr>
      <w:r>
        <w:rPr>
          <w:rFonts w:hint="cs" w:asciiTheme="majorBidi" w:hAnsiTheme="majorBidi" w:cstheme="majorBidi"/>
          <w:rtl/>
        </w:rPr>
        <w:t>فيما سعت</w:t>
      </w:r>
      <w:r>
        <w:rPr>
          <w:rFonts w:asciiTheme="majorBidi" w:hAnsiTheme="majorBidi" w:cstheme="majorBidi"/>
          <w:rtl/>
        </w:rPr>
        <w:t xml:space="preserve"> دراسة سيمويس دي ألميدا وآخرون</w:t>
      </w:r>
      <w:r>
        <w:rPr>
          <w:rFonts w:asciiTheme="majorBidi" w:hAnsiTheme="majorBidi" w:cstheme="majorBidi"/>
          <w:lang w:bidi="ar-JO"/>
        </w:rPr>
        <w:t xml:space="preserve"> (Simões de Almeida et al., 2023) </w:t>
      </w:r>
      <w:r>
        <w:rPr>
          <w:rFonts w:asciiTheme="majorBidi" w:hAnsiTheme="majorBidi" w:cstheme="majorBidi"/>
          <w:rtl/>
        </w:rPr>
        <w:t>إلى استكشاف مستويات التوعية بالصحة النفسية والوصمة المرتبطة بها بين فئات مختلفة من سكان بلدية بوفوا دي فارزيم في شمال البرتغال، وقد اتبعت الدراسة المنهج الوصفي الارتباطي، واعتمدت على عينة ملائمة مكونة من (928) مشاركًا من فئات متعددة شملت طلابًا ومتقاعدين ومهنيين في مجالات التعليم والعمل الاجتماعي والرعاية الصحية، وتم قياس الوعي بالصحة النفسية باستخدام عدة مقاييس مثل</w:t>
      </w:r>
      <w:r>
        <w:rPr>
          <w:rFonts w:asciiTheme="majorBidi" w:hAnsiTheme="majorBidi" w:cstheme="majorBidi"/>
          <w:lang w:bidi="ar-JO"/>
        </w:rPr>
        <w:t xml:space="preserve"> (MHPK) </w:t>
      </w:r>
      <w:r>
        <w:rPr>
          <w:rFonts w:asciiTheme="majorBidi" w:hAnsiTheme="majorBidi" w:cstheme="majorBidi"/>
          <w:rtl/>
        </w:rPr>
        <w:t>و</w:t>
      </w:r>
      <w:r>
        <w:rPr>
          <w:rFonts w:asciiTheme="majorBidi" w:hAnsiTheme="majorBidi" w:cstheme="majorBidi"/>
          <w:lang w:bidi="ar-JO"/>
        </w:rPr>
        <w:t xml:space="preserve">(MHLM) </w:t>
      </w:r>
      <w:r>
        <w:rPr>
          <w:rFonts w:asciiTheme="majorBidi" w:hAnsiTheme="majorBidi" w:cstheme="majorBidi"/>
          <w:rtl/>
        </w:rPr>
        <w:t>و</w:t>
      </w:r>
      <w:r>
        <w:rPr>
          <w:rFonts w:asciiTheme="majorBidi" w:hAnsiTheme="majorBidi" w:cstheme="majorBidi"/>
          <w:lang w:bidi="ar-JO"/>
        </w:rPr>
        <w:t>(MAKS)</w:t>
      </w:r>
      <w:r>
        <w:rPr>
          <w:rFonts w:asciiTheme="majorBidi" w:hAnsiTheme="majorBidi" w:cstheme="majorBidi"/>
          <w:rtl/>
        </w:rPr>
        <w:t>، بينما تم قياس الوصمة باستخدام مقياس</w:t>
      </w:r>
      <w:r>
        <w:rPr>
          <w:rFonts w:asciiTheme="majorBidi" w:hAnsiTheme="majorBidi" w:cstheme="majorBidi"/>
          <w:lang w:bidi="ar-JO"/>
        </w:rPr>
        <w:t xml:space="preserve"> (CAMI) </w:t>
      </w:r>
      <w:r>
        <w:rPr>
          <w:rFonts w:asciiTheme="majorBidi" w:hAnsiTheme="majorBidi" w:cstheme="majorBidi"/>
          <w:rtl/>
        </w:rPr>
        <w:t>ومقياس</w:t>
      </w:r>
      <w:r>
        <w:rPr>
          <w:rFonts w:asciiTheme="majorBidi" w:hAnsiTheme="majorBidi" w:cstheme="majorBidi"/>
          <w:lang w:bidi="ar-JO"/>
        </w:rPr>
        <w:t xml:space="preserve"> (RIBS) </w:t>
      </w:r>
      <w:r>
        <w:rPr>
          <w:rFonts w:asciiTheme="majorBidi" w:hAnsiTheme="majorBidi" w:cstheme="majorBidi"/>
          <w:rtl/>
        </w:rPr>
        <w:t>وأظهرت النتائج أن مستوى التوعية بالصحة النفسية يرتفع مع التقدم في العمر وارتفاع المستوى التعليمي، وكان أعلى لدى النساء والعاملين في القطاع الصحي، في حين تبين أن كبار السن أكثر ميلاً للوصم مقارنة بالفئات الأخرى. كما كشفت النتائج عن وجود علاقة عكسية دالة بين التوعية بالصحة النفسية والوصمة الاجتماعية</w:t>
      </w:r>
      <w:r>
        <w:rPr>
          <w:rFonts w:asciiTheme="majorBidi" w:hAnsiTheme="majorBidi" w:cstheme="majorBidi"/>
        </w:rPr>
        <w:t>.</w:t>
      </w:r>
    </w:p>
    <w:p w14:paraId="76DAD97F">
      <w:pPr>
        <w:bidi/>
        <w:spacing w:line="360" w:lineRule="auto"/>
        <w:jc w:val="lowKashida"/>
        <w:rPr>
          <w:rFonts w:asciiTheme="majorBidi" w:hAnsiTheme="majorBidi" w:cstheme="majorBidi"/>
        </w:rPr>
      </w:pPr>
      <w:r>
        <w:rPr>
          <w:rFonts w:asciiTheme="majorBidi" w:hAnsiTheme="majorBidi" w:cstheme="majorBidi"/>
          <w:rtl/>
        </w:rPr>
        <w:t>بعد استعراض الدراسات السابقة، يتضح أنها اتسمت بالتنوع من حيث الأهداف والمنهجيات والعينات، حيث ركزت بعض الدراسات على قياس مستوى الوعي بالصحة النفسية والتحقق من خصائص أدوات القياس كما في دراسة القريم وآخرون</w:t>
      </w:r>
      <w:r>
        <w:rPr>
          <w:rFonts w:asciiTheme="majorBidi" w:hAnsiTheme="majorBidi" w:cstheme="majorBidi"/>
        </w:rPr>
        <w:t xml:space="preserve"> (Al-Qerem et al., 2024)</w:t>
      </w:r>
      <w:r>
        <w:rPr>
          <w:rFonts w:asciiTheme="majorBidi" w:hAnsiTheme="majorBidi" w:cstheme="majorBidi"/>
          <w:rtl/>
        </w:rPr>
        <w:t>، في حين اتجهت دراسات أخرى إلى بحث العلاقات الارتباطية بين الوعي بالصحة النفسية وكل من الوصمة الاجتماعية وسلوك طلب المساعدة كما في دراسات جير وسليمي</w:t>
      </w:r>
      <w:r>
        <w:rPr>
          <w:rFonts w:asciiTheme="majorBidi" w:hAnsiTheme="majorBidi" w:cstheme="majorBidi"/>
        </w:rPr>
        <w:t xml:space="preserve"> (Gere &amp; Salimi, 2025) </w:t>
      </w:r>
      <w:r>
        <w:rPr>
          <w:rFonts w:asciiTheme="majorBidi" w:hAnsiTheme="majorBidi" w:cstheme="majorBidi"/>
          <w:rtl/>
        </w:rPr>
        <w:t>وكوترا وآخرون</w:t>
      </w:r>
      <w:r>
        <w:rPr>
          <w:rFonts w:asciiTheme="majorBidi" w:hAnsiTheme="majorBidi" w:cstheme="majorBidi"/>
        </w:rPr>
        <w:t xml:space="preserve"> (Koutra et al., 2024)</w:t>
      </w:r>
      <w:r>
        <w:rPr>
          <w:rFonts w:asciiTheme="majorBidi" w:hAnsiTheme="majorBidi" w:cstheme="majorBidi"/>
          <w:rtl/>
        </w:rPr>
        <w:t>، بينما تناولت دراسات إضافية هذه المتغيرات ضمن سياقات مجتمعية وثقافية متنوعة كما في دراسة سيمويس دي ألميدا وآخرون</w:t>
      </w:r>
      <w:r>
        <w:rPr>
          <w:rFonts w:asciiTheme="majorBidi" w:hAnsiTheme="majorBidi" w:cstheme="majorBidi"/>
        </w:rPr>
        <w:t xml:space="preserve"> (Simões de Almeida et al., 2023). </w:t>
      </w:r>
      <w:r>
        <w:rPr>
          <w:rFonts w:asciiTheme="majorBidi" w:hAnsiTheme="majorBidi" w:cstheme="majorBidi"/>
          <w:rtl/>
        </w:rPr>
        <w:t>كما اختلفت هذه الدراسات في طبيعة العينات، إذ ركزت بعضها على فئات محددة كطلبة الجامعات أو مجموعات مهنية، في حين شملت أخرى فئات مجتمعية أوسع. وفي ضوء ذلك، تتميز الدراسة الحالية بتركيزها على المجتمع الأردني بشكل عام، وبتناولها المتكامل لمتغيري الوعي بالصحة النفسية والوصمة الاجتماعية ضمن إطار واحد، مع الأخذ بعين الاعتبار مجموعة من المتغيرات الديموغرافية والخبرات السابقة، الأمر الذي يمنحها طابعًا شموليًا ويسهم في سد فجوة بحثية في البيئة العربية</w:t>
      </w:r>
      <w:r>
        <w:rPr>
          <w:rFonts w:asciiTheme="majorBidi" w:hAnsiTheme="majorBidi" w:cstheme="majorBidi"/>
        </w:rPr>
        <w:t>.</w:t>
      </w:r>
    </w:p>
    <w:p w14:paraId="011B6B07">
      <w:pPr>
        <w:bidi/>
        <w:spacing w:line="360" w:lineRule="auto"/>
        <w:rPr>
          <w:rFonts w:asciiTheme="majorBidi" w:hAnsiTheme="majorBidi" w:cstheme="majorBidi"/>
          <w:b/>
          <w:bCs/>
          <w:rtl/>
          <w:lang w:bidi="ar-JO"/>
        </w:rPr>
      </w:pPr>
      <w:r>
        <w:rPr>
          <w:rFonts w:asciiTheme="majorBidi" w:hAnsiTheme="majorBidi" w:cstheme="majorBidi"/>
          <w:b/>
          <w:bCs/>
          <w:rtl/>
          <w:lang w:bidi="ar-JO"/>
        </w:rPr>
        <w:t xml:space="preserve">مشكلة الدراسة </w:t>
      </w:r>
    </w:p>
    <w:p w14:paraId="06BBEAE1">
      <w:pPr>
        <w:bidi/>
        <w:spacing w:line="360" w:lineRule="auto"/>
        <w:jc w:val="lowKashida"/>
        <w:rPr>
          <w:rFonts w:asciiTheme="majorBidi" w:hAnsiTheme="majorBidi" w:cstheme="majorBidi"/>
        </w:rPr>
      </w:pPr>
      <w:r>
        <w:rPr>
          <w:rFonts w:asciiTheme="majorBidi" w:hAnsiTheme="majorBidi" w:cstheme="majorBidi"/>
          <w:rtl/>
        </w:rPr>
        <w:t>تشير الأدبيات العلمية الحديثة إلى أن قضايا الصحة النفسية لم تعد تقتصر على انتشار الاضطرابات النفسية فقط، بل امتدت لتشمل أبعادًا معرفية واجتماعية أكثر تعقيدًا، يأتي في مقدمتها محو الأمية في الصحة النفسية والوصمة تجاه المرض النفسي</w:t>
      </w:r>
      <w:r>
        <w:rPr>
          <w:rFonts w:hint="cs" w:asciiTheme="majorBidi" w:hAnsiTheme="majorBidi" w:cstheme="majorBidi"/>
          <w:rtl/>
          <w:lang w:bidi="ar-JO"/>
        </w:rPr>
        <w:t xml:space="preserve">، </w:t>
      </w:r>
      <w:r>
        <w:rPr>
          <w:rFonts w:hint="cs" w:asciiTheme="majorBidi" w:hAnsiTheme="majorBidi" w:cstheme="majorBidi"/>
          <w:rtl/>
        </w:rPr>
        <w:t>فب</w:t>
      </w:r>
      <w:r>
        <w:rPr>
          <w:rFonts w:asciiTheme="majorBidi" w:hAnsiTheme="majorBidi" w:cstheme="majorBidi"/>
          <w:rtl/>
        </w:rPr>
        <w:t>الرغم من أن أكثر من مليار شخص حول العالم يعانون من اضطرابات نفسية</w:t>
      </w:r>
      <w:r>
        <w:rPr>
          <w:rFonts w:asciiTheme="majorBidi" w:hAnsiTheme="majorBidi" w:cstheme="majorBidi"/>
          <w:lang w:bidi="ar-JO"/>
        </w:rPr>
        <w:t>(World Health Organization, 2025)</w:t>
      </w:r>
      <w:r>
        <w:rPr>
          <w:rFonts w:asciiTheme="majorBidi" w:hAnsiTheme="majorBidi" w:cstheme="majorBidi"/>
          <w:rtl/>
        </w:rPr>
        <w:t>، إلا أن الفجوة العلاجية ما تزال واسعة، ويُعزى ذلك بدرجة كبيرة إلى استمرار الوصمة الاجتماعية وضعف الوعي بالصحة النفسية، مما يحد من الوصول إلى الخدمات العلاجية المناسبة</w:t>
      </w:r>
      <w:r>
        <w:rPr>
          <w:rFonts w:asciiTheme="majorBidi" w:hAnsiTheme="majorBidi" w:cstheme="majorBidi"/>
          <w:lang w:bidi="ar-JO"/>
        </w:rPr>
        <w:t xml:space="preserve"> .</w:t>
      </w:r>
    </w:p>
    <w:p w14:paraId="722E777A">
      <w:pPr>
        <w:bidi/>
        <w:spacing w:line="360" w:lineRule="auto"/>
        <w:jc w:val="lowKashida"/>
        <w:rPr>
          <w:rFonts w:asciiTheme="majorBidi" w:hAnsiTheme="majorBidi" w:cstheme="majorBidi"/>
          <w:lang w:bidi="ar-JO"/>
        </w:rPr>
      </w:pPr>
      <w:r>
        <w:rPr>
          <w:rFonts w:asciiTheme="majorBidi" w:hAnsiTheme="majorBidi" w:cstheme="majorBidi"/>
          <w:rtl/>
        </w:rPr>
        <w:t>وفي السياق العالمي، تؤكد الدراسات الحديثة استمرار حضور الوصمة حتى في الدول المتقدمة، حيث ما تزال اتجاهات الخوف والتحفظ تجاه المرض النفسي في ارتفاع، مع ضعف الاعتقاد بإمكانية التعافي الكامل، وهو ما يعكس رسوخ الصور النمطية السلبية رغم تطور الخدمات الصحية</w:t>
      </w:r>
      <w:r>
        <w:rPr>
          <w:rFonts w:asciiTheme="majorBidi" w:hAnsiTheme="majorBidi" w:cstheme="majorBidi"/>
          <w:lang w:bidi="ar-JO"/>
        </w:rPr>
        <w:t xml:space="preserve"> .(Henderson et al., 2025) </w:t>
      </w:r>
      <w:r>
        <w:rPr>
          <w:rFonts w:hint="cs" w:asciiTheme="majorBidi" w:hAnsiTheme="majorBidi" w:cstheme="majorBidi"/>
          <w:rtl/>
        </w:rPr>
        <w:t>اذ تعد</w:t>
      </w:r>
      <w:r>
        <w:rPr>
          <w:rFonts w:asciiTheme="majorBidi" w:hAnsiTheme="majorBidi" w:cstheme="majorBidi"/>
          <w:rtl/>
        </w:rPr>
        <w:t xml:space="preserve"> الوصمة تُعد أحد أهم العوائق أمام طلب المساعدة النفسية، وترتبط بانخفاض استخدام خدمات الصحة النفسية وتأخر العلاج</w:t>
      </w:r>
      <w:r>
        <w:rPr>
          <w:rFonts w:asciiTheme="majorBidi" w:hAnsiTheme="majorBidi" w:cstheme="majorBidi"/>
          <w:lang w:bidi="ar-JO"/>
        </w:rPr>
        <w:t>.(Patel et al., 2024)</w:t>
      </w:r>
    </w:p>
    <w:p w14:paraId="7BAA76EE">
      <w:pPr>
        <w:bidi/>
        <w:spacing w:line="360" w:lineRule="auto"/>
        <w:jc w:val="lowKashida"/>
        <w:rPr>
          <w:rFonts w:asciiTheme="majorBidi" w:hAnsiTheme="majorBidi" w:cstheme="majorBidi"/>
          <w:lang w:bidi="ar-JO"/>
        </w:rPr>
      </w:pPr>
      <w:r>
        <w:rPr>
          <w:rFonts w:asciiTheme="majorBidi" w:hAnsiTheme="majorBidi" w:cstheme="majorBidi"/>
          <w:rtl/>
        </w:rPr>
        <w:t>ومن جهة أخرى، تؤكد الأدبيات البحثية أن ضعف محو الأمية في الصحة النفسية يسهم بشكل مباشر في تعزيز الوصمة وتثبيت المعتقدات الخاطئة حول المرض النفسي، حيث يرتبط انخفاض المعرفة بزيادة الاتجاهات السلبية تجاه المصابين بالاضطرابات النفسية وضعف السلوكيات الإيجابية نحو طلب العلاج</w:t>
      </w:r>
      <w:r>
        <w:rPr>
          <w:rFonts w:asciiTheme="majorBidi" w:hAnsiTheme="majorBidi" w:cstheme="majorBidi"/>
          <w:lang w:bidi="ar-JO"/>
        </w:rPr>
        <w:t xml:space="preserve"> Wei et al., 2023) </w:t>
      </w:r>
      <w:r>
        <w:rPr>
          <w:rFonts w:asciiTheme="majorBidi" w:hAnsiTheme="majorBidi" w:cstheme="majorBidi"/>
          <w:rtl/>
        </w:rPr>
        <w:t>؛</w:t>
      </w:r>
      <w:r>
        <w:rPr>
          <w:rFonts w:asciiTheme="majorBidi" w:hAnsiTheme="majorBidi" w:cstheme="majorBidi"/>
          <w:lang w:bidi="ar-JO"/>
        </w:rPr>
        <w:t xml:space="preserve"> .(Zhang et al., 2025</w:t>
      </w:r>
      <w:r>
        <w:rPr>
          <w:rFonts w:asciiTheme="majorBidi" w:hAnsiTheme="majorBidi" w:cstheme="majorBidi"/>
          <w:rtl/>
        </w:rPr>
        <w:t>كما أن القدرة على التعرف على الاضطرابات النفسية ما تزال محدودة لدى نسبة ملحوظة من الأفراد، في ظل استمرار الوصمة كعائق رئيسي أمام طلب المساعدة</w:t>
      </w:r>
      <w:r>
        <w:rPr>
          <w:rFonts w:asciiTheme="majorBidi" w:hAnsiTheme="majorBidi" w:cstheme="majorBidi"/>
          <w:lang w:bidi="ar-JO"/>
        </w:rPr>
        <w:t xml:space="preserve"> .(Osebhahiemen et al., 2025)</w:t>
      </w:r>
    </w:p>
    <w:p w14:paraId="55A19327">
      <w:pPr>
        <w:bidi/>
        <w:spacing w:line="360" w:lineRule="auto"/>
        <w:jc w:val="lowKashida"/>
        <w:rPr>
          <w:rFonts w:asciiTheme="majorBidi" w:hAnsiTheme="majorBidi" w:cstheme="majorBidi"/>
          <w:lang w:bidi="ar-JO"/>
        </w:rPr>
      </w:pPr>
      <w:r>
        <w:rPr>
          <w:rFonts w:asciiTheme="majorBidi" w:hAnsiTheme="majorBidi" w:cstheme="majorBidi"/>
          <w:rtl/>
        </w:rPr>
        <w:t xml:space="preserve">وعلى الصعيد العربي، </w:t>
      </w:r>
      <w:r>
        <w:rPr>
          <w:rFonts w:hint="cs" w:asciiTheme="majorBidi" w:hAnsiTheme="majorBidi" w:cstheme="majorBidi"/>
          <w:rtl/>
          <w:lang w:bidi="ar-JO"/>
        </w:rPr>
        <w:t>ف</w:t>
      </w:r>
      <w:r>
        <w:rPr>
          <w:rFonts w:asciiTheme="majorBidi" w:hAnsiTheme="majorBidi" w:cstheme="majorBidi"/>
          <w:rtl/>
        </w:rPr>
        <w:t>الوصمة تجاه المرض النفسي ما تزال مرتفعة نسبيًا، مع انتشار اتجاهات سلبية نحو المرضى النفسيين وطلب العلاج، إضافة إلى تأثير العوامل الثقافية والاجتماعية مثل الخوف من نظرة المجتمع وثقافة العيب، والتي تعيق بشكل واضح الوصول إلى خدمات الصحة النفسية</w:t>
      </w:r>
      <w:r>
        <w:rPr>
          <w:rFonts w:asciiTheme="majorBidi" w:hAnsiTheme="majorBidi" w:cstheme="majorBidi"/>
          <w:lang w:bidi="ar-JO"/>
        </w:rPr>
        <w:t xml:space="preserve"> Stambouli et al., 2023)</w:t>
      </w:r>
      <w:r>
        <w:rPr>
          <w:rFonts w:asciiTheme="majorBidi" w:hAnsiTheme="majorBidi" w:cstheme="majorBidi"/>
          <w:rtl/>
        </w:rPr>
        <w:t>؛</w:t>
      </w:r>
      <w:r>
        <w:rPr>
          <w:rFonts w:asciiTheme="majorBidi" w:hAnsiTheme="majorBidi" w:cstheme="majorBidi"/>
          <w:lang w:bidi="ar-JO"/>
        </w:rPr>
        <w:t xml:space="preserve"> .(Khatib et al., 2023</w:t>
      </w:r>
    </w:p>
    <w:p w14:paraId="6471139F">
      <w:pPr>
        <w:bidi/>
        <w:spacing w:line="360" w:lineRule="auto"/>
        <w:jc w:val="lowKashida"/>
        <w:rPr>
          <w:rFonts w:asciiTheme="majorBidi" w:hAnsiTheme="majorBidi" w:cstheme="majorBidi"/>
          <w:rtl/>
          <w:lang w:bidi="ar-JO"/>
        </w:rPr>
      </w:pPr>
      <w:r>
        <w:rPr>
          <w:rFonts w:hint="cs" w:asciiTheme="majorBidi" w:hAnsiTheme="majorBidi" w:cstheme="majorBidi"/>
          <w:rtl/>
        </w:rPr>
        <w:t>وعليه</w:t>
      </w:r>
      <w:r>
        <w:rPr>
          <w:rFonts w:asciiTheme="majorBidi" w:hAnsiTheme="majorBidi" w:cstheme="majorBidi"/>
          <w:rtl/>
        </w:rPr>
        <w:t>، تتضح الحاجة إلى دراسة هذه الظاهرة في السياق الأردني، نظرًا لخصوصيته الثقافية والاجتماعية، وندرة الدراسات المحلية التي تجمع بين محو الأمية في الصحة النفسية والوصمة في إطار واحد شامل، مما يبرر إجراء الدراسة الحالية للكشف عن مستواهما، والعلاقة بينهما، والفروق المرتبطة ببعض المتغيرات الديموغرافية والخبرات السابقة</w:t>
      </w:r>
      <w:r>
        <w:rPr>
          <w:rFonts w:asciiTheme="majorBidi" w:hAnsiTheme="majorBidi" w:cstheme="majorBidi"/>
          <w:lang w:bidi="ar-JO"/>
        </w:rPr>
        <w:t>.</w:t>
      </w:r>
    </w:p>
    <w:p w14:paraId="4418688D">
      <w:pPr>
        <w:bidi/>
        <w:spacing w:line="360" w:lineRule="auto"/>
        <w:jc w:val="lowKashida"/>
        <w:rPr>
          <w:rFonts w:asciiTheme="majorBidi" w:hAnsiTheme="majorBidi" w:cstheme="majorBidi"/>
          <w:b/>
          <w:bCs/>
          <w:rtl/>
          <w:lang w:bidi="ar-JO"/>
        </w:rPr>
      </w:pPr>
      <w:r>
        <w:rPr>
          <w:rFonts w:asciiTheme="majorBidi" w:hAnsiTheme="majorBidi" w:cstheme="majorBidi"/>
          <w:b/>
          <w:bCs/>
          <w:rtl/>
          <w:lang w:bidi="ar-JO"/>
        </w:rPr>
        <w:t xml:space="preserve">أسئلة الدراسة </w:t>
      </w:r>
    </w:p>
    <w:p w14:paraId="52D61308">
      <w:pPr>
        <w:pStyle w:val="19"/>
        <w:numPr>
          <w:ilvl w:val="0"/>
          <w:numId w:val="1"/>
        </w:numPr>
        <w:bidi/>
        <w:spacing w:line="360" w:lineRule="auto"/>
        <w:ind w:left="360"/>
        <w:jc w:val="lowKashida"/>
        <w:rPr>
          <w:rFonts w:asciiTheme="majorBidi" w:hAnsiTheme="majorBidi" w:cstheme="majorBidi"/>
        </w:rPr>
      </w:pPr>
      <w:r>
        <w:rPr>
          <w:rFonts w:asciiTheme="majorBidi" w:hAnsiTheme="majorBidi" w:cstheme="majorBidi"/>
          <w:rtl/>
        </w:rPr>
        <w:t xml:space="preserve">ما مستوى تقييم محو الأمية في مجال الصحة النفسية والوصمة الاجتماعية تجاه المرض النفسي لدى </w:t>
      </w:r>
      <w:r>
        <w:rPr>
          <w:rFonts w:asciiTheme="majorBidi" w:hAnsiTheme="majorBidi" w:cstheme="majorBidi"/>
          <w:rtl/>
          <w:lang w:bidi="ar-JO"/>
        </w:rPr>
        <w:t>عينة من المجتمع الاردني</w:t>
      </w:r>
      <w:r>
        <w:rPr>
          <w:rFonts w:asciiTheme="majorBidi" w:hAnsiTheme="majorBidi" w:cstheme="majorBidi"/>
          <w:rtl/>
        </w:rPr>
        <w:t>؟</w:t>
      </w:r>
    </w:p>
    <w:p w14:paraId="79A5087F">
      <w:pPr>
        <w:pStyle w:val="19"/>
        <w:numPr>
          <w:ilvl w:val="0"/>
          <w:numId w:val="1"/>
        </w:numPr>
        <w:bidi/>
        <w:spacing w:line="360" w:lineRule="auto"/>
        <w:ind w:left="360"/>
        <w:jc w:val="lowKashida"/>
        <w:rPr>
          <w:rFonts w:asciiTheme="majorBidi" w:hAnsiTheme="majorBidi" w:cstheme="majorBidi"/>
        </w:rPr>
      </w:pPr>
      <w:r>
        <w:rPr>
          <w:rFonts w:asciiTheme="majorBidi" w:hAnsiTheme="majorBidi" w:cstheme="majorBidi"/>
          <w:rtl/>
          <w:lang w:bidi="ar-JO"/>
        </w:rPr>
        <w:t xml:space="preserve">هل توجد فروق ذات دلالة إحصائية في مستوى محو الأمية في الصحة النفسية والوصمة </w:t>
      </w:r>
      <w:r>
        <w:rPr>
          <w:rFonts w:asciiTheme="majorBidi" w:hAnsiTheme="majorBidi" w:cstheme="majorBidi"/>
          <w:rtl/>
        </w:rPr>
        <w:t xml:space="preserve">الاجتماعية </w:t>
      </w:r>
      <w:r>
        <w:rPr>
          <w:rFonts w:asciiTheme="majorBidi" w:hAnsiTheme="majorBidi" w:cstheme="majorBidi"/>
          <w:rtl/>
          <w:lang w:bidi="ar-JO"/>
        </w:rPr>
        <w:t>تجاه المرض النفسي تُعزى إلى متغيرات الجنس والمؤهل العلمي؟</w:t>
      </w:r>
    </w:p>
    <w:p w14:paraId="4B43F43C">
      <w:pPr>
        <w:pStyle w:val="19"/>
        <w:numPr>
          <w:ilvl w:val="0"/>
          <w:numId w:val="1"/>
        </w:numPr>
        <w:bidi/>
        <w:spacing w:line="360" w:lineRule="auto"/>
        <w:ind w:left="360"/>
        <w:jc w:val="lowKashida"/>
        <w:rPr>
          <w:rFonts w:asciiTheme="majorBidi" w:hAnsiTheme="majorBidi" w:cstheme="majorBidi"/>
        </w:rPr>
      </w:pPr>
      <w:r>
        <w:rPr>
          <w:rFonts w:asciiTheme="majorBidi" w:hAnsiTheme="majorBidi" w:cstheme="majorBidi"/>
          <w:rtl/>
        </w:rPr>
        <w:t>هل توجد فروق ذات دلالة إحصائية في مستوى الوعي بالمرض النفسي والوصمة الاجتماعية تُعزى إلى وجود خبرة سابقة أو تدريب في مجال الصحة النفسية؟</w:t>
      </w:r>
    </w:p>
    <w:p w14:paraId="08FD84A2">
      <w:pPr>
        <w:pStyle w:val="19"/>
        <w:numPr>
          <w:ilvl w:val="0"/>
          <w:numId w:val="1"/>
        </w:numPr>
        <w:bidi/>
        <w:spacing w:line="360" w:lineRule="auto"/>
        <w:ind w:left="360"/>
        <w:jc w:val="lowKashida"/>
        <w:rPr>
          <w:rFonts w:asciiTheme="majorBidi" w:hAnsiTheme="majorBidi" w:cstheme="majorBidi"/>
          <w:rtl/>
        </w:rPr>
      </w:pPr>
      <w:r>
        <w:rPr>
          <w:rFonts w:asciiTheme="majorBidi" w:hAnsiTheme="majorBidi" w:cstheme="majorBidi"/>
          <w:rtl/>
        </w:rPr>
        <w:t>ما طبيعة العلاقة بين مستوى محو الأمية في الصحة النفسية ومستوى الوصمة تجاه المرض النفسي لدى الأفراد البالغين في المجتمع الأردني</w:t>
      </w:r>
      <w:r>
        <w:rPr>
          <w:rFonts w:asciiTheme="majorBidi" w:hAnsiTheme="majorBidi" w:cstheme="majorBidi"/>
          <w:color w:val="000000" w:themeColor="text1"/>
          <w:rtl/>
          <w14:textFill>
            <w14:solidFill>
              <w14:schemeClr w14:val="tx1"/>
            </w14:solidFill>
          </w14:textFill>
        </w:rPr>
        <w:t>؟</w:t>
      </w:r>
    </w:p>
    <w:p w14:paraId="44EF06F4">
      <w:pPr>
        <w:bidi/>
        <w:spacing w:line="360" w:lineRule="auto"/>
        <w:rPr>
          <w:rFonts w:asciiTheme="majorBidi" w:hAnsiTheme="majorBidi" w:cstheme="majorBidi"/>
          <w:b/>
          <w:bCs/>
          <w:rtl/>
          <w:lang w:bidi="ar-JO"/>
        </w:rPr>
      </w:pPr>
      <w:r>
        <w:rPr>
          <w:rFonts w:hint="cs" w:asciiTheme="majorBidi" w:hAnsiTheme="majorBidi" w:cstheme="majorBidi"/>
          <w:b/>
          <w:bCs/>
          <w:rtl/>
          <w:lang w:bidi="ar-JO"/>
        </w:rPr>
        <w:t xml:space="preserve">أهمية الدراسة </w:t>
      </w:r>
    </w:p>
    <w:p w14:paraId="57EE45B2">
      <w:pPr>
        <w:bidi/>
        <w:spacing w:line="360" w:lineRule="auto"/>
        <w:jc w:val="lowKashida"/>
        <w:rPr>
          <w:rFonts w:asciiTheme="majorBidi" w:hAnsiTheme="majorBidi" w:cstheme="majorBidi"/>
          <w:rtl/>
          <w:lang w:bidi="ar-JO"/>
        </w:rPr>
      </w:pPr>
      <w:r>
        <w:rPr>
          <w:rFonts w:hint="cs" w:asciiTheme="majorBidi" w:hAnsiTheme="majorBidi" w:cstheme="majorBidi"/>
          <w:b/>
          <w:bCs/>
          <w:rtl/>
          <w:lang w:bidi="ar-JO"/>
        </w:rPr>
        <w:t>النظرية</w:t>
      </w:r>
      <w:r>
        <w:rPr>
          <w:rFonts w:hint="cs" w:asciiTheme="majorBidi" w:hAnsiTheme="majorBidi" w:cstheme="majorBidi"/>
          <w:rtl/>
          <w:lang w:bidi="ar-JO"/>
        </w:rPr>
        <w:t xml:space="preserve">: </w:t>
      </w:r>
      <w:r>
        <w:rPr>
          <w:rFonts w:asciiTheme="majorBidi" w:hAnsiTheme="majorBidi" w:cstheme="majorBidi"/>
          <w:rtl/>
        </w:rPr>
        <w:t>تكتسب هذه الدراسة أهميتها من كونها تُسهم في إثراء الأدبيات العلمية المتعلقة بمحو الأمية في الصحة النفسية والوصمة الاجتماعية، باعتبارهما من أكثر القضايا النفسية والاجتماعية تعقيدًا وتأثيرًا في سلوك الأفراد واتجاهاتهم نحو الصحة النفسي</w:t>
      </w:r>
      <w:r>
        <w:rPr>
          <w:rFonts w:hint="cs" w:asciiTheme="majorBidi" w:hAnsiTheme="majorBidi" w:cstheme="majorBidi"/>
          <w:rtl/>
        </w:rPr>
        <w:t>،</w:t>
      </w:r>
      <w:r>
        <w:rPr>
          <w:rFonts w:asciiTheme="majorBidi" w:hAnsiTheme="majorBidi" w:cstheme="majorBidi"/>
          <w:rtl/>
        </w:rPr>
        <w:t xml:space="preserve"> كما تبرز أهمية الدراسة في كونها تتناول هذين المتغيرين في السياق الأردني، الذي ما يزال بحاجة إلى مزيد من الدراسات التجريبية والارتباطية التي تكشف طبيعة العلاقة بين المعرفة النفسية والاتجاهات الوصمية، وتوضح دور العوامل الديموغرافية والخبرات السابقة في تشكيل هذه الظواهر</w:t>
      </w:r>
      <w:r>
        <w:rPr>
          <w:rFonts w:hint="cs" w:asciiTheme="majorBidi" w:hAnsiTheme="majorBidi" w:cstheme="majorBidi"/>
          <w:rtl/>
        </w:rPr>
        <w:t xml:space="preserve">، </w:t>
      </w:r>
      <w:r>
        <w:rPr>
          <w:rFonts w:asciiTheme="majorBidi" w:hAnsiTheme="majorBidi" w:cstheme="majorBidi"/>
          <w:rtl/>
        </w:rPr>
        <w:t>ومن شأن نتائج هذه الدراسة أن تُسهم في بناء قاعدة معرفية أكثر عمقًا لفهم آليات تشكل الوصمة النفسية وعلاقتها بمستوى الوعي النفسي في المجتمعات العربية</w:t>
      </w:r>
      <w:r>
        <w:rPr>
          <w:rFonts w:asciiTheme="majorBidi" w:hAnsiTheme="majorBidi" w:cstheme="majorBidi"/>
          <w:lang w:bidi="ar-JO"/>
        </w:rPr>
        <w:t>.</w:t>
      </w:r>
    </w:p>
    <w:p w14:paraId="035CB76C">
      <w:pPr>
        <w:bidi/>
        <w:spacing w:line="360" w:lineRule="auto"/>
        <w:jc w:val="lowKashida"/>
        <w:rPr>
          <w:rFonts w:asciiTheme="majorBidi" w:hAnsiTheme="majorBidi" w:cstheme="majorBidi"/>
          <w:rtl/>
          <w:lang w:bidi="ar-JO"/>
        </w:rPr>
      </w:pPr>
      <w:r>
        <w:rPr>
          <w:rFonts w:hint="cs" w:asciiTheme="majorBidi" w:hAnsiTheme="majorBidi" w:cstheme="majorBidi"/>
          <w:b/>
          <w:bCs/>
          <w:rtl/>
          <w:lang w:bidi="ar-JO"/>
        </w:rPr>
        <w:t>العملية</w:t>
      </w:r>
      <w:r>
        <w:rPr>
          <w:rFonts w:hint="cs" w:asciiTheme="majorBidi" w:hAnsiTheme="majorBidi" w:cstheme="majorBidi"/>
          <w:rtl/>
          <w:lang w:bidi="ar-JO"/>
        </w:rPr>
        <w:t xml:space="preserve">: </w:t>
      </w:r>
      <w:r>
        <w:rPr>
          <w:rFonts w:asciiTheme="majorBidi" w:hAnsiTheme="majorBidi" w:cstheme="majorBidi"/>
          <w:rtl/>
        </w:rPr>
        <w:t>تنبع الأهمية التطبيقية لهذه الدراسة من قدرتها على تقديم مؤشرات علمية يمكن الاستفادة منها في تصميم وتطوير برامج تدخلية وتوعوية موجهة لرفع مستوى محو الأمية في الصحة النفسية وخفض الوصمة الاجتماعية تجاه الاضطرابات النفسية. كما يمكن أن تُسهم نتائجها في دعم صناع القرار في القطاعين الصحي والتربوي لتبني استراتيجيات أكثر فاعلية في تعزيز الثقافة النفسية داخل المجتمع، بما يشمل إدماج برامج التوعية بالصحة النفسية في المؤسسات التعليمية، وتطوير حملات إعلامية هادفة تقلل من الصور النمطية السلبية تجاه المرض النفسي. إضافة إلى ذلك، يمكن أن تساعد النتائج في تحسين الإقبال على خدمات الصحة النفسية وزيادة الالتزام بالعلاج، من خلال تقليل العوائق النفسية والاجتماعية المرتبطة بالوصمة</w:t>
      </w:r>
      <w:r>
        <w:rPr>
          <w:rFonts w:asciiTheme="majorBidi" w:hAnsiTheme="majorBidi" w:cstheme="majorBidi"/>
          <w:lang w:bidi="ar-JO"/>
        </w:rPr>
        <w:t>.</w:t>
      </w:r>
    </w:p>
    <w:p w14:paraId="7063AB47">
      <w:pPr>
        <w:bidi/>
        <w:spacing w:line="360" w:lineRule="auto"/>
        <w:rPr>
          <w:rFonts w:asciiTheme="majorBidi" w:hAnsiTheme="majorBidi" w:cstheme="majorBidi"/>
          <w:b/>
          <w:bCs/>
          <w:rtl/>
          <w:lang w:bidi="ar-JO"/>
        </w:rPr>
      </w:pPr>
      <w:r>
        <w:rPr>
          <w:rFonts w:hint="cs" w:asciiTheme="majorBidi" w:hAnsiTheme="majorBidi" w:cstheme="majorBidi"/>
          <w:b/>
          <w:bCs/>
          <w:rtl/>
          <w:lang w:bidi="ar-JO"/>
        </w:rPr>
        <w:t xml:space="preserve">التعريفات الاصطلاحية والاجرائية </w:t>
      </w:r>
    </w:p>
    <w:p w14:paraId="3B8EC18D">
      <w:pPr>
        <w:pStyle w:val="19"/>
        <w:numPr>
          <w:ilvl w:val="0"/>
          <w:numId w:val="2"/>
        </w:numPr>
        <w:bidi/>
        <w:spacing w:line="360" w:lineRule="auto"/>
        <w:jc w:val="lowKashida"/>
        <w:rPr>
          <w:rFonts w:asciiTheme="majorBidi" w:hAnsiTheme="majorBidi" w:cstheme="majorBidi"/>
          <w:lang w:bidi="ar-JO"/>
        </w:rPr>
      </w:pPr>
      <w:r>
        <w:rPr>
          <w:rFonts w:asciiTheme="majorBidi" w:hAnsiTheme="majorBidi" w:cstheme="majorBidi"/>
          <w:b/>
          <w:bCs/>
          <w:rtl/>
          <w:lang w:bidi="ar-JO"/>
        </w:rPr>
        <w:t>تقييم محو الأمية في مجال الصحة النفسية</w:t>
      </w:r>
      <w:r>
        <w:rPr>
          <w:rFonts w:asciiTheme="majorBidi" w:hAnsiTheme="majorBidi" w:cstheme="majorBidi"/>
          <w:rtl/>
          <w:lang w:bidi="ar-JO"/>
        </w:rPr>
        <w:t xml:space="preserve"> </w:t>
      </w:r>
      <w:r>
        <w:rPr>
          <w:rFonts w:asciiTheme="majorBidi" w:hAnsiTheme="majorBidi" w:cstheme="majorBidi"/>
          <w:b/>
          <w:bCs/>
          <w:lang w:bidi="ar-JO"/>
        </w:rPr>
        <w:t>Assessing mental health literacy among university students</w:t>
      </w:r>
      <w:r>
        <w:rPr>
          <w:rFonts w:asciiTheme="majorBidi" w:hAnsiTheme="majorBidi" w:cstheme="majorBidi"/>
          <w:b/>
          <w:bCs/>
          <w:rtl/>
          <w:lang w:bidi="ar-JO"/>
        </w:rPr>
        <w:t xml:space="preserve"> </w:t>
      </w:r>
      <w:r>
        <w:rPr>
          <w:rFonts w:hint="cs" w:asciiTheme="majorBidi" w:hAnsiTheme="majorBidi" w:cstheme="majorBidi"/>
          <w:rtl/>
          <w:lang w:bidi="ar-JO"/>
        </w:rPr>
        <w:t>:</w:t>
      </w:r>
      <w:r>
        <w:rPr>
          <w:rFonts w:asciiTheme="majorBidi" w:hAnsiTheme="majorBidi" w:cstheme="majorBidi"/>
          <w:rtl/>
          <w:lang w:bidi="ar-JO"/>
        </w:rPr>
        <w:t>هو عملية قياس مستوى معرفة الأفراد وفهمهم للاضطرابات النفسية، بما يشمل قدرتهم على التعرف على الأعراض، وفهم أسبابها، وآليات التعامل معها، ومعرفة طرق طلب المساعدة المناسبة. ويُنظر إليه في الأدبيات الحديثة بوصفه مؤشرًا معرفيًا وسلوكيًا يرتبط بجودة التعامل مع الصحة النفسية واتخاذ القرارات المتعلقة بها</w:t>
      </w:r>
      <w:r>
        <w:rPr>
          <w:rFonts w:asciiTheme="majorBidi" w:hAnsiTheme="majorBidi" w:cstheme="majorBidi"/>
          <w:lang w:bidi="ar-JO"/>
        </w:rPr>
        <w:t xml:space="preserve"> Gorczynski &amp; Sims-Schouten, 2024)</w:t>
      </w:r>
      <w:r>
        <w:rPr>
          <w:rFonts w:hint="cs" w:asciiTheme="majorBidi" w:hAnsiTheme="majorBidi" w:cstheme="majorBidi"/>
          <w:rtl/>
          <w:lang w:bidi="ar-JO"/>
        </w:rPr>
        <w:t>)</w:t>
      </w:r>
      <w:r>
        <w:rPr>
          <w:rFonts w:asciiTheme="majorBidi" w:hAnsiTheme="majorBidi" w:cstheme="majorBidi"/>
          <w:lang w:bidi="ar-JO"/>
        </w:rPr>
        <w:t xml:space="preserve">. </w:t>
      </w:r>
    </w:p>
    <w:p w14:paraId="478F1647">
      <w:pPr>
        <w:pStyle w:val="19"/>
        <w:bidi/>
        <w:spacing w:line="360" w:lineRule="auto"/>
        <w:jc w:val="lowKashida"/>
        <w:rPr>
          <w:rFonts w:asciiTheme="majorBidi" w:hAnsiTheme="majorBidi" w:cstheme="majorBidi"/>
          <w:lang w:bidi="ar-JO"/>
        </w:rPr>
      </w:pPr>
      <w:r>
        <w:rPr>
          <w:rFonts w:hint="cs" w:asciiTheme="majorBidi" w:hAnsiTheme="majorBidi" w:cstheme="majorBidi"/>
          <w:b/>
          <w:bCs/>
          <w:rtl/>
        </w:rPr>
        <w:t xml:space="preserve">واجرائياً </w:t>
      </w:r>
      <w:r>
        <w:rPr>
          <w:rFonts w:asciiTheme="majorBidi" w:hAnsiTheme="majorBidi" w:cstheme="majorBidi"/>
          <w:b/>
          <w:bCs/>
          <w:rtl/>
        </w:rPr>
        <w:t>ترى الباحثة أن</w:t>
      </w:r>
      <w:r>
        <w:rPr>
          <w:rFonts w:asciiTheme="majorBidi" w:hAnsiTheme="majorBidi" w:cstheme="majorBidi"/>
          <w:rtl/>
        </w:rPr>
        <w:t xml:space="preserve"> </w:t>
      </w:r>
      <w:r>
        <w:rPr>
          <w:rFonts w:asciiTheme="majorBidi" w:hAnsiTheme="majorBidi" w:cstheme="majorBidi"/>
          <w:b/>
          <w:bCs/>
          <w:rtl/>
        </w:rPr>
        <w:t>محو الأمية في مجال الصحة النفسية</w:t>
      </w:r>
      <w:r>
        <w:rPr>
          <w:rFonts w:asciiTheme="majorBidi" w:hAnsiTheme="majorBidi" w:cstheme="majorBidi"/>
          <w:rtl/>
        </w:rPr>
        <w:t xml:space="preserve"> هو مستوى إدراك الفرد ومعرفته بالاضطرابات النفسية المختلفة، وقدرته على فهم أعراضها وأسبابها وطرق التعامل معها، إضافة إلى وعيه بآليات طلب المساعدة النفسية المناسبة في الوقت المناسب، بما يسهم في تعزيز الصحة النفسية والوقاية من تفاقم الاضطرابات</w:t>
      </w:r>
      <w:r>
        <w:rPr>
          <w:rFonts w:asciiTheme="majorBidi" w:hAnsiTheme="majorBidi" w:cstheme="majorBidi"/>
          <w:lang w:bidi="ar-JO"/>
        </w:rPr>
        <w:t>.</w:t>
      </w:r>
    </w:p>
    <w:p w14:paraId="58A0A819">
      <w:pPr>
        <w:pStyle w:val="19"/>
        <w:numPr>
          <w:ilvl w:val="0"/>
          <w:numId w:val="2"/>
        </w:numPr>
        <w:bidi/>
        <w:spacing w:line="360" w:lineRule="auto"/>
        <w:jc w:val="lowKashida"/>
        <w:rPr>
          <w:rFonts w:asciiTheme="majorBidi" w:hAnsiTheme="majorBidi" w:cstheme="majorBidi"/>
          <w:lang w:bidi="ar-JO"/>
        </w:rPr>
      </w:pPr>
      <w:r>
        <w:rPr>
          <w:rFonts w:asciiTheme="majorBidi" w:hAnsiTheme="majorBidi" w:cstheme="majorBidi"/>
          <w:b/>
          <w:bCs/>
          <w:rtl/>
          <w:lang w:bidi="ar-JO"/>
        </w:rPr>
        <w:t>الوصمة تجاه المرض النفسي</w:t>
      </w:r>
      <w:r>
        <w:rPr>
          <w:rFonts w:asciiTheme="majorBidi" w:hAnsiTheme="majorBidi" w:cstheme="majorBidi"/>
          <w:lang w:bidi="ar-JO"/>
        </w:rPr>
        <w:t>:</w:t>
      </w:r>
      <w:r>
        <w:t xml:space="preserve"> </w:t>
      </w:r>
      <w:r>
        <w:rPr>
          <w:rFonts w:asciiTheme="majorBidi" w:hAnsiTheme="majorBidi" w:cstheme="majorBidi"/>
          <w:b/>
          <w:bCs/>
          <w:lang w:bidi="ar-JO"/>
        </w:rPr>
        <w:t xml:space="preserve">Stigma toward mental illness </w:t>
      </w:r>
      <w:r>
        <w:rPr>
          <w:rFonts w:asciiTheme="majorBidi" w:hAnsiTheme="majorBidi" w:cstheme="majorBidi"/>
          <w:rtl/>
          <w:lang w:bidi="ar-JO"/>
        </w:rPr>
        <w:t>مجموعة الاتجاهات والمعتقدات السلبية التي يحملها الأفراد تجاه المصابين باضطرابات نفسية، والتي قد تؤدي إلى التمييز، والرفض الاجتماعي، وتقليل فرص الاندماج، وتأخير طلب العلاج أو تجنبه</w:t>
      </w:r>
      <w:r>
        <w:rPr>
          <w:rFonts w:asciiTheme="majorBidi" w:hAnsiTheme="majorBidi" w:cstheme="majorBidi"/>
          <w:lang w:bidi="ar-JO"/>
        </w:rPr>
        <w:t>.(Koutra et al., 2024)</w:t>
      </w:r>
    </w:p>
    <w:p w14:paraId="3C0A23F8">
      <w:pPr>
        <w:pStyle w:val="19"/>
        <w:bidi/>
        <w:spacing w:line="360" w:lineRule="auto"/>
        <w:jc w:val="lowKashida"/>
        <w:rPr>
          <w:rFonts w:asciiTheme="majorBidi" w:hAnsiTheme="majorBidi" w:cstheme="majorBidi"/>
          <w:rtl/>
          <w:lang w:bidi="ar-JO"/>
        </w:rPr>
      </w:pPr>
      <w:r>
        <w:rPr>
          <w:rFonts w:hint="cs" w:asciiTheme="majorBidi" w:hAnsiTheme="majorBidi" w:cstheme="majorBidi"/>
          <w:b/>
          <w:bCs/>
          <w:rtl/>
        </w:rPr>
        <w:t>اجرائياً</w:t>
      </w:r>
      <w:r>
        <w:rPr>
          <w:rFonts w:asciiTheme="majorBidi" w:hAnsiTheme="majorBidi" w:cstheme="majorBidi"/>
          <w:b/>
          <w:bCs/>
          <w:rtl/>
        </w:rPr>
        <w:t xml:space="preserve"> ترى الباحثة أن الوصمة تجاه المرض النفسي</w:t>
      </w:r>
      <w:r>
        <w:rPr>
          <w:rFonts w:asciiTheme="majorBidi" w:hAnsiTheme="majorBidi" w:cstheme="majorBidi"/>
          <w:rtl/>
        </w:rPr>
        <w:t xml:space="preserve"> هي مجموعة من الاتجاهات والمعتقدات السلبية التي يتبناها الأفراد أو المجتمع تجاه الأشخاص المصابين باضطرابات نفسية، والتي قد تؤدي إلى التمييز الاجتماعي، والرفض، وتقييد فرص الاندماج، وإعاقة طلب المساعدة أو العلاج النفسي</w:t>
      </w:r>
      <w:r>
        <w:rPr>
          <w:rFonts w:asciiTheme="majorBidi" w:hAnsiTheme="majorBidi" w:cstheme="majorBidi"/>
          <w:lang w:bidi="ar-JO"/>
        </w:rPr>
        <w:t>.</w:t>
      </w:r>
    </w:p>
    <w:p w14:paraId="42319AC5">
      <w:pPr>
        <w:bidi/>
        <w:spacing w:line="360" w:lineRule="auto"/>
        <w:rPr>
          <w:rFonts w:asciiTheme="majorBidi" w:hAnsiTheme="majorBidi" w:cstheme="majorBidi"/>
          <w:b/>
          <w:bCs/>
          <w:rtl/>
          <w:lang w:bidi="ar-JO"/>
        </w:rPr>
      </w:pPr>
      <w:r>
        <w:rPr>
          <w:rFonts w:asciiTheme="majorBidi" w:hAnsiTheme="majorBidi" w:cstheme="majorBidi"/>
          <w:b/>
          <w:bCs/>
          <w:rtl/>
          <w:lang w:bidi="ar-JO"/>
        </w:rPr>
        <w:t xml:space="preserve">الحدود والمحددات </w:t>
      </w:r>
    </w:p>
    <w:p w14:paraId="0B5ED7BD">
      <w:pPr>
        <w:bidi/>
        <w:spacing w:line="360" w:lineRule="auto"/>
        <w:jc w:val="lowKashida"/>
        <w:rPr>
          <w:rFonts w:asciiTheme="majorBidi" w:hAnsiTheme="majorBidi" w:cstheme="majorBidi"/>
          <w:sz w:val="22"/>
          <w:szCs w:val="22"/>
          <w:rtl/>
          <w:lang w:bidi="ar-JO"/>
        </w:rPr>
      </w:pPr>
      <w:r>
        <w:rPr>
          <w:rFonts w:hint="cs" w:asciiTheme="majorBidi" w:hAnsiTheme="majorBidi" w:cstheme="majorBidi"/>
          <w:b/>
          <w:bCs/>
          <w:sz w:val="22"/>
          <w:szCs w:val="22"/>
          <w:rtl/>
          <w:lang w:bidi="ar-JO"/>
        </w:rPr>
        <w:t xml:space="preserve">الموضوعية: </w:t>
      </w:r>
      <w:r>
        <w:rPr>
          <w:rFonts w:asciiTheme="majorBidi" w:hAnsiTheme="majorBidi" w:cstheme="majorBidi"/>
          <w:sz w:val="22"/>
          <w:szCs w:val="22"/>
          <w:rtl/>
        </w:rPr>
        <w:t>تقتصر الدراسة الحالية على دراسة مستوى محو الأمية في الصحة النفسية والوصمة الاجتماعية تجاه المرض النفسي</w:t>
      </w:r>
      <w:r>
        <w:rPr>
          <w:rFonts w:hint="cs" w:asciiTheme="majorBidi" w:hAnsiTheme="majorBidi" w:cstheme="majorBidi"/>
          <w:sz w:val="22"/>
          <w:szCs w:val="22"/>
          <w:rtl/>
        </w:rPr>
        <w:t>.</w:t>
      </w:r>
    </w:p>
    <w:p w14:paraId="5A3C8F90">
      <w:pPr>
        <w:bidi/>
        <w:spacing w:line="360" w:lineRule="auto"/>
        <w:rPr>
          <w:rFonts w:asciiTheme="majorBidi" w:hAnsiTheme="majorBidi" w:cstheme="majorBidi"/>
          <w:rtl/>
          <w:lang w:bidi="ar-JO"/>
        </w:rPr>
      </w:pPr>
      <w:r>
        <w:rPr>
          <w:rFonts w:hint="cs" w:asciiTheme="majorBidi" w:hAnsiTheme="majorBidi" w:cstheme="majorBidi"/>
          <w:b/>
          <w:bCs/>
          <w:rtl/>
          <w:lang w:bidi="ar-JO"/>
        </w:rPr>
        <w:t>المكانية</w:t>
      </w:r>
      <w:r>
        <w:rPr>
          <w:rFonts w:hint="cs" w:asciiTheme="majorBidi" w:hAnsiTheme="majorBidi" w:cstheme="majorBidi"/>
          <w:rtl/>
          <w:lang w:bidi="ar-JO"/>
        </w:rPr>
        <w:t xml:space="preserve">: </w:t>
      </w:r>
      <w:r>
        <w:rPr>
          <w:rFonts w:asciiTheme="majorBidi" w:hAnsiTheme="majorBidi" w:cstheme="majorBidi"/>
          <w:rtl/>
        </w:rPr>
        <w:t xml:space="preserve">تم تطبيق هذه الدراسة في </w:t>
      </w:r>
      <w:r>
        <w:rPr>
          <w:rFonts w:hint="cs" w:asciiTheme="majorBidi" w:hAnsiTheme="majorBidi" w:cstheme="majorBidi"/>
          <w:rtl/>
        </w:rPr>
        <w:t xml:space="preserve">مختلف مناطق </w:t>
      </w:r>
      <w:r>
        <w:rPr>
          <w:rFonts w:asciiTheme="majorBidi" w:hAnsiTheme="majorBidi" w:cstheme="majorBidi"/>
          <w:rtl/>
        </w:rPr>
        <w:t>المملكة الأردنية الهاشمية</w:t>
      </w:r>
      <w:r>
        <w:rPr>
          <w:rFonts w:asciiTheme="majorBidi" w:hAnsiTheme="majorBidi" w:cstheme="majorBidi"/>
          <w:lang w:bidi="ar-JO"/>
        </w:rPr>
        <w:t>.</w:t>
      </w:r>
    </w:p>
    <w:p w14:paraId="301E6360">
      <w:pPr>
        <w:bidi/>
        <w:spacing w:line="360" w:lineRule="auto"/>
        <w:rPr>
          <w:rFonts w:asciiTheme="majorBidi" w:hAnsiTheme="majorBidi" w:cstheme="majorBidi"/>
          <w:b/>
          <w:bCs/>
          <w:rtl/>
          <w:lang w:bidi="ar-JO"/>
        </w:rPr>
      </w:pPr>
      <w:r>
        <w:rPr>
          <w:rFonts w:hint="cs" w:asciiTheme="majorBidi" w:hAnsiTheme="majorBidi" w:cstheme="majorBidi"/>
          <w:b/>
          <w:bCs/>
          <w:rtl/>
          <w:lang w:bidi="ar-JO"/>
        </w:rPr>
        <w:t xml:space="preserve">الزمانية: </w:t>
      </w:r>
      <w:r>
        <w:rPr>
          <w:rFonts w:hint="cs" w:asciiTheme="majorBidi" w:hAnsiTheme="majorBidi" w:cstheme="majorBidi"/>
          <w:rtl/>
          <w:lang w:bidi="ar-JO"/>
        </w:rPr>
        <w:t>أجريت الدراسة الحالية في الفصل الدراسي الثاني من العام 2025.</w:t>
      </w:r>
    </w:p>
    <w:p w14:paraId="27A1C22B">
      <w:pPr>
        <w:bidi/>
        <w:spacing w:line="360" w:lineRule="auto"/>
        <w:rPr>
          <w:rFonts w:asciiTheme="majorBidi" w:hAnsiTheme="majorBidi" w:cstheme="majorBidi"/>
          <w:b/>
          <w:bCs/>
          <w:rtl/>
          <w:lang w:bidi="ar-JO"/>
        </w:rPr>
      </w:pPr>
      <w:r>
        <w:rPr>
          <w:rFonts w:hint="cs" w:asciiTheme="majorBidi" w:hAnsiTheme="majorBidi" w:cstheme="majorBidi"/>
          <w:b/>
          <w:bCs/>
          <w:rtl/>
          <w:lang w:bidi="ar-JO"/>
        </w:rPr>
        <w:t xml:space="preserve">البشرية: </w:t>
      </w:r>
      <w:r>
        <w:rPr>
          <w:rFonts w:asciiTheme="majorBidi" w:hAnsiTheme="majorBidi" w:cstheme="majorBidi"/>
          <w:rtl/>
        </w:rPr>
        <w:t>الأفراد البالغين من المجتمع الأردني الذين تم اختيارهم ضمن عينة الدراسة</w:t>
      </w:r>
      <w:r>
        <w:rPr>
          <w:rFonts w:asciiTheme="majorBidi" w:hAnsiTheme="majorBidi" w:cstheme="majorBidi"/>
          <w:lang w:bidi="ar-JO"/>
        </w:rPr>
        <w:t>.</w:t>
      </w:r>
    </w:p>
    <w:p w14:paraId="09FB93E0">
      <w:pPr>
        <w:bidi/>
        <w:spacing w:line="360" w:lineRule="auto"/>
        <w:jc w:val="lowKashida"/>
        <w:rPr>
          <w:rFonts w:asciiTheme="majorBidi" w:hAnsiTheme="majorBidi" w:cstheme="majorBidi"/>
          <w:rtl/>
          <w:lang w:bidi="ar-JO"/>
        </w:rPr>
      </w:pPr>
      <w:r>
        <w:rPr>
          <w:rFonts w:hint="cs" w:asciiTheme="majorBidi" w:hAnsiTheme="majorBidi" w:cstheme="majorBidi"/>
          <w:b/>
          <w:bCs/>
          <w:rtl/>
          <w:lang w:bidi="ar-JO"/>
        </w:rPr>
        <w:t xml:space="preserve">المحددات: </w:t>
      </w:r>
      <w:r>
        <w:rPr>
          <w:rFonts w:asciiTheme="majorBidi" w:hAnsiTheme="majorBidi" w:cstheme="majorBidi"/>
          <w:rtl/>
        </w:rPr>
        <w:t>تتحدد نتائج الدراسة بالأداة المستخدمة في القياس (مقياس محو الأمية في الصحة النفسية والوصمة الاجتماعية)، وبمدى صدق وثبات هذه الأداة، إضافة إلى دقة استجابات أفراد العينة، وبالتالي فإن إمكانية تعميم النتائج تكون في حدود مجتمع الدراسة والظروف المشابهة</w:t>
      </w:r>
      <w:r>
        <w:rPr>
          <w:rFonts w:asciiTheme="majorBidi" w:hAnsiTheme="majorBidi" w:cstheme="majorBidi"/>
          <w:lang w:bidi="ar-JO"/>
        </w:rPr>
        <w:t>.</w:t>
      </w:r>
    </w:p>
    <w:p w14:paraId="746E6750">
      <w:pPr>
        <w:bidi/>
        <w:spacing w:line="360" w:lineRule="auto"/>
        <w:jc w:val="lowKashida"/>
        <w:rPr>
          <w:rFonts w:asciiTheme="majorBidi" w:hAnsiTheme="majorBidi" w:cstheme="majorBidi"/>
          <w:b/>
          <w:bCs/>
          <w:rtl/>
          <w:lang w:bidi="ar-JO"/>
        </w:rPr>
      </w:pPr>
      <w:r>
        <w:rPr>
          <w:rFonts w:hint="cs" w:asciiTheme="majorBidi" w:hAnsiTheme="majorBidi" w:cstheme="majorBidi"/>
          <w:b/>
          <w:bCs/>
          <w:rtl/>
          <w:lang w:bidi="ar-JO"/>
        </w:rPr>
        <w:t>الطريقة والاجراءات</w:t>
      </w:r>
    </w:p>
    <w:p w14:paraId="5E7A54E7">
      <w:pPr>
        <w:pStyle w:val="2"/>
        <w:bidi/>
        <w:spacing w:before="0" w:after="160" w:line="360" w:lineRule="auto"/>
        <w:jc w:val="lowKashida"/>
        <w:rPr>
          <w:rFonts w:asciiTheme="majorBidi" w:hAnsiTheme="majorBidi"/>
          <w:color w:val="auto"/>
          <w:sz w:val="24"/>
          <w:szCs w:val="24"/>
        </w:rPr>
      </w:pPr>
      <w:r>
        <w:rPr>
          <w:rStyle w:val="11"/>
          <w:rFonts w:asciiTheme="majorBidi" w:hAnsiTheme="majorBidi"/>
          <w:color w:val="auto"/>
          <w:sz w:val="24"/>
          <w:szCs w:val="24"/>
          <w:rtl/>
        </w:rPr>
        <w:t>منهجية الدراسة</w:t>
      </w:r>
    </w:p>
    <w:p w14:paraId="1617F82A">
      <w:pPr>
        <w:bidi/>
        <w:spacing w:line="360" w:lineRule="auto"/>
        <w:rPr>
          <w:rFonts w:asciiTheme="majorBidi" w:hAnsiTheme="majorBidi" w:cstheme="majorBidi"/>
          <w:rtl/>
          <w:lang w:bidi="ar-JO"/>
        </w:rPr>
      </w:pPr>
      <w:r>
        <w:rPr>
          <w:rFonts w:asciiTheme="majorBidi" w:hAnsiTheme="majorBidi" w:cstheme="majorBidi"/>
          <w:rtl/>
        </w:rPr>
        <w:t xml:space="preserve">اعتمدت هذه الدراسة على </w:t>
      </w:r>
      <w:r>
        <w:rPr>
          <w:rStyle w:val="11"/>
          <w:rFonts w:asciiTheme="majorBidi" w:hAnsiTheme="majorBidi" w:cstheme="majorBidi"/>
          <w:b w:val="0"/>
          <w:bCs w:val="0"/>
          <w:rtl/>
        </w:rPr>
        <w:t xml:space="preserve">المنهج الوصفي </w:t>
      </w:r>
      <w:r>
        <w:rPr>
          <w:rStyle w:val="11"/>
          <w:rFonts w:hint="cs" w:asciiTheme="majorBidi" w:hAnsiTheme="majorBidi" w:cstheme="majorBidi"/>
          <w:b w:val="0"/>
          <w:bCs w:val="0"/>
          <w:rtl/>
        </w:rPr>
        <w:t>الارتباطي</w:t>
      </w:r>
      <w:r>
        <w:rPr>
          <w:rFonts w:asciiTheme="majorBidi" w:hAnsiTheme="majorBidi" w:cstheme="majorBidi"/>
          <w:rtl/>
        </w:rPr>
        <w:t>، وذلك لملاءمته لأهداف البحث المتمثلة في تقييم مستوى محو الأمية في مجال الصحة النفسية ودرجة الوصمة تجاه المرض النفسي لدى أفراد من المجتمع الأردني</w:t>
      </w:r>
      <w:r>
        <w:rPr>
          <w:rFonts w:asciiTheme="majorBidi" w:hAnsiTheme="majorBidi" w:cstheme="majorBidi"/>
        </w:rPr>
        <w:t>.</w:t>
      </w:r>
    </w:p>
    <w:p w14:paraId="3098195B">
      <w:pPr>
        <w:bidi/>
        <w:spacing w:line="360" w:lineRule="auto"/>
        <w:jc w:val="lowKashida"/>
        <w:outlineLvl w:val="2"/>
        <w:rPr>
          <w:rFonts w:eastAsia="Times New Roman" w:asciiTheme="majorBidi" w:hAnsiTheme="majorBidi" w:cstheme="majorBidi"/>
          <w:b/>
          <w:bCs/>
          <w:rtl/>
          <w:lang w:bidi="ar-JO"/>
        </w:rPr>
      </w:pPr>
      <w:r>
        <w:rPr>
          <w:rFonts w:eastAsia="Times New Roman" w:asciiTheme="majorBidi" w:hAnsiTheme="majorBidi" w:cstheme="majorBidi"/>
          <w:b/>
          <w:bCs/>
          <w:rtl/>
        </w:rPr>
        <w:t>مجتمع وعينة الدراسة</w:t>
      </w:r>
      <w:r>
        <w:rPr>
          <w:rFonts w:eastAsia="Times New Roman" w:asciiTheme="majorBidi" w:hAnsiTheme="majorBidi" w:cstheme="majorBidi"/>
          <w:b/>
          <w:bCs/>
        </w:rPr>
        <w:t xml:space="preserve">       </w:t>
      </w:r>
      <w:r>
        <w:rPr>
          <w:rFonts w:eastAsia="Times New Roman" w:asciiTheme="majorBidi" w:hAnsiTheme="majorBidi" w:cstheme="majorBidi"/>
          <w:b/>
          <w:bCs/>
          <w:rtl/>
          <w:lang w:bidi="ar-JO"/>
        </w:rPr>
        <w:t xml:space="preserve"> </w:t>
      </w:r>
    </w:p>
    <w:p w14:paraId="56119771">
      <w:pPr>
        <w:pStyle w:val="10"/>
        <w:bidi/>
        <w:spacing w:line="360" w:lineRule="auto"/>
        <w:jc w:val="lowKashida"/>
        <w:rPr>
          <w:rFonts w:asciiTheme="majorBidi" w:hAnsiTheme="majorBidi" w:cstheme="majorBidi"/>
        </w:rPr>
      </w:pPr>
      <w:r>
        <w:rPr>
          <w:rFonts w:asciiTheme="majorBidi" w:hAnsiTheme="majorBidi" w:cstheme="majorBidi"/>
          <w:rtl/>
        </w:rPr>
        <w:t xml:space="preserve">يتكون مجتمع الدراسة من الأفراد البالغين (18 سنة فأكثر) من الجنسين، والمقيمين في المملكة الأردنية الهاشمية خلال فترة تنفيذ الدراسة، ويبلغ عددهم وفقًا لآخر إحصائية صادرة عن </w:t>
      </w:r>
      <w:r>
        <w:rPr>
          <w:rStyle w:val="11"/>
          <w:rFonts w:asciiTheme="majorBidi" w:hAnsiTheme="majorBidi" w:cstheme="majorBidi"/>
          <w:b w:val="0"/>
          <w:bCs w:val="0"/>
          <w:rtl/>
        </w:rPr>
        <w:t>دائرة الإحصاءات العامة الأردنية لعام 2024</w:t>
      </w:r>
      <w:r>
        <w:rPr>
          <w:rFonts w:asciiTheme="majorBidi" w:hAnsiTheme="majorBidi" w:cstheme="majorBidi"/>
          <w:rtl/>
        </w:rPr>
        <w:t xml:space="preserve"> حوالي</w:t>
      </w:r>
      <w:r>
        <w:rPr>
          <w:rFonts w:asciiTheme="majorBidi" w:hAnsiTheme="majorBidi" w:cstheme="majorBidi"/>
          <w:b/>
          <w:bCs/>
          <w:rtl/>
        </w:rPr>
        <w:t xml:space="preserve"> </w:t>
      </w:r>
      <w:r>
        <w:rPr>
          <w:rStyle w:val="11"/>
          <w:rFonts w:asciiTheme="majorBidi" w:hAnsiTheme="majorBidi" w:cstheme="majorBidi"/>
          <w:b w:val="0"/>
          <w:bCs w:val="0"/>
        </w:rPr>
        <w:t xml:space="preserve">6,780,000 </w:t>
      </w:r>
      <w:r>
        <w:rPr>
          <w:rStyle w:val="11"/>
          <w:rFonts w:asciiTheme="majorBidi" w:hAnsiTheme="majorBidi" w:cstheme="majorBidi"/>
          <w:b w:val="0"/>
          <w:bCs w:val="0"/>
          <w:rtl/>
        </w:rPr>
        <w:t xml:space="preserve"> نسمة</w:t>
      </w:r>
      <w:r>
        <w:rPr>
          <w:rFonts w:asciiTheme="majorBidi" w:hAnsiTheme="majorBidi" w:cstheme="majorBidi"/>
          <w:b/>
          <w:bCs/>
          <w:rtl/>
        </w:rPr>
        <w:t>،</w:t>
      </w:r>
      <w:r>
        <w:rPr>
          <w:rFonts w:asciiTheme="majorBidi" w:hAnsiTheme="majorBidi" w:cstheme="majorBidi"/>
        </w:rPr>
        <w:t xml:space="preserve"> </w:t>
      </w:r>
      <w:r>
        <w:rPr>
          <w:rFonts w:asciiTheme="majorBidi" w:hAnsiTheme="majorBidi" w:cstheme="majorBidi"/>
          <w:rtl/>
        </w:rPr>
        <w:t>يشمل هذا المجتمع الأفراد من مختلف المحافظات والمستويات التعليمية والحالة الاجتماعية</w:t>
      </w:r>
      <w:r>
        <w:rPr>
          <w:rFonts w:asciiTheme="majorBidi" w:hAnsiTheme="majorBidi" w:cstheme="majorBidi"/>
        </w:rPr>
        <w:t>.</w:t>
      </w:r>
    </w:p>
    <w:p w14:paraId="7BEBACA7">
      <w:pPr>
        <w:bidi/>
        <w:spacing w:line="360" w:lineRule="auto"/>
        <w:ind w:right="-90"/>
        <w:jc w:val="lowKashida"/>
        <w:rPr>
          <w:rFonts w:asciiTheme="majorBidi" w:hAnsiTheme="majorBidi" w:cstheme="majorBidi"/>
          <w:b/>
          <w:bCs/>
          <w:color w:val="000000" w:themeColor="text1"/>
          <w:rtl/>
          <w14:textFill>
            <w14:solidFill>
              <w14:schemeClr w14:val="tx1"/>
            </w14:solidFill>
          </w14:textFill>
        </w:rPr>
      </w:pPr>
      <w:r>
        <w:rPr>
          <w:rFonts w:asciiTheme="majorBidi" w:hAnsiTheme="majorBidi" w:cstheme="majorBidi"/>
          <w:rtl/>
        </w:rPr>
        <w:t>تم تحديد حجم العينة بالاعتماد على</w:t>
      </w:r>
      <w:r>
        <w:rPr>
          <w:rFonts w:asciiTheme="majorBidi" w:hAnsiTheme="majorBidi" w:cstheme="majorBidi"/>
          <w:b/>
          <w:bCs/>
          <w:rtl/>
        </w:rPr>
        <w:t xml:space="preserve"> </w:t>
      </w:r>
      <w:r>
        <w:rPr>
          <w:rStyle w:val="11"/>
          <w:rFonts w:asciiTheme="majorBidi" w:hAnsiTheme="majorBidi" w:cstheme="majorBidi"/>
          <w:b w:val="0"/>
          <w:bCs w:val="0"/>
          <w:rtl/>
        </w:rPr>
        <w:t>معادلة كريجسي ومورغان</w:t>
      </w:r>
      <w:r>
        <w:rPr>
          <w:rStyle w:val="11"/>
          <w:rFonts w:asciiTheme="majorBidi" w:hAnsiTheme="majorBidi" w:cstheme="majorBidi"/>
          <w:b w:val="0"/>
          <w:bCs w:val="0"/>
        </w:rPr>
        <w:t xml:space="preserve"> (Krejcie &amp; Morgan, 1970)</w:t>
      </w:r>
      <w:r>
        <w:rPr>
          <w:rFonts w:asciiTheme="majorBidi" w:hAnsiTheme="majorBidi" w:cstheme="majorBidi"/>
          <w:b/>
          <w:bCs/>
          <w:rtl/>
        </w:rPr>
        <w:t xml:space="preserve">، </w:t>
      </w:r>
      <w:r>
        <w:rPr>
          <w:rFonts w:asciiTheme="majorBidi" w:hAnsiTheme="majorBidi" w:cstheme="majorBidi"/>
          <w:rtl/>
        </w:rPr>
        <w:t xml:space="preserve">والتي تستخدم لتحديد الحد الأدنى للحجم اللازم للعينة الممثلة للمجتمع. وبناءً على حجم المجتمع، فإن حجم العينة المطلوب يبلغ حوالي </w:t>
      </w:r>
      <w:r>
        <w:rPr>
          <w:rStyle w:val="11"/>
          <w:rFonts w:asciiTheme="majorBidi" w:hAnsiTheme="majorBidi" w:cstheme="majorBidi"/>
          <w:b w:val="0"/>
          <w:bCs w:val="0"/>
          <w:rtl/>
        </w:rPr>
        <w:t>384</w:t>
      </w:r>
      <w:r>
        <w:rPr>
          <w:rStyle w:val="11"/>
          <w:rFonts w:asciiTheme="majorBidi" w:hAnsiTheme="majorBidi" w:cstheme="majorBidi"/>
          <w:b w:val="0"/>
          <w:bCs w:val="0"/>
        </w:rPr>
        <w:t xml:space="preserve"> </w:t>
      </w:r>
      <w:r>
        <w:rPr>
          <w:rStyle w:val="11"/>
          <w:rFonts w:asciiTheme="majorBidi" w:hAnsiTheme="majorBidi" w:cstheme="majorBidi"/>
          <w:b w:val="0"/>
          <w:bCs w:val="0"/>
          <w:rtl/>
        </w:rPr>
        <w:t xml:space="preserve"> مشاركًا</w:t>
      </w:r>
      <w:r>
        <w:rPr>
          <w:rFonts w:asciiTheme="majorBidi" w:hAnsiTheme="majorBidi" w:cstheme="majorBidi"/>
          <w:rtl/>
        </w:rPr>
        <w:t xml:space="preserve"> لضمان مستوى ثقة (95%) وهامش خطأ</w:t>
      </w:r>
      <w:r>
        <w:rPr>
          <w:rFonts w:asciiTheme="majorBidi" w:hAnsiTheme="majorBidi" w:cstheme="majorBidi"/>
        </w:rPr>
        <w:t xml:space="preserve"> (±5%)</w:t>
      </w:r>
      <w:r>
        <w:rPr>
          <w:rFonts w:asciiTheme="majorBidi" w:hAnsiTheme="majorBidi" w:cstheme="majorBidi"/>
          <w:rtl/>
        </w:rPr>
        <w:t>،</w:t>
      </w:r>
      <w:r>
        <w:rPr>
          <w:rFonts w:eastAsia="Times New Roman" w:asciiTheme="majorBidi" w:hAnsiTheme="majorBidi" w:cstheme="majorBidi"/>
          <w:rtl/>
        </w:rPr>
        <w:t xml:space="preserve"> وقد تم اختيار عينة الدراسة بطريقة قصدية</w:t>
      </w:r>
      <w:r>
        <w:rPr>
          <w:rFonts w:eastAsia="Times New Roman" w:asciiTheme="majorBidi" w:hAnsiTheme="majorBidi" w:cstheme="majorBidi"/>
        </w:rPr>
        <w:t xml:space="preserve"> (Purposive Sampling) </w:t>
      </w:r>
      <w:r>
        <w:rPr>
          <w:rFonts w:eastAsia="Times New Roman" w:asciiTheme="majorBidi" w:hAnsiTheme="majorBidi" w:cstheme="majorBidi"/>
          <w:rtl/>
        </w:rPr>
        <w:t>من أفراد المجتمع.</w:t>
      </w:r>
    </w:p>
    <w:p w14:paraId="1B4B845F">
      <w:pPr>
        <w:bidi/>
        <w:spacing w:after="0" w:line="360" w:lineRule="auto"/>
        <w:ind w:right="-91" w:firstLine="312"/>
        <w:jc w:val="center"/>
        <w:rPr>
          <w:rFonts w:asciiTheme="majorBidi" w:hAnsiTheme="majorBidi" w:cstheme="majorBidi"/>
          <w:color w:val="000000" w:themeColor="text1"/>
          <w:rtl/>
          <w14:textFill>
            <w14:solidFill>
              <w14:schemeClr w14:val="tx1"/>
            </w14:solidFill>
          </w14:textFill>
        </w:rPr>
      </w:pPr>
      <w:r>
        <w:rPr>
          <w:rFonts w:asciiTheme="majorBidi" w:hAnsiTheme="majorBidi" w:cstheme="majorBidi"/>
          <w:b/>
          <w:bCs/>
          <w:color w:val="000000" w:themeColor="text1"/>
          <w:rtl/>
          <w14:textFill>
            <w14:solidFill>
              <w14:schemeClr w14:val="tx1"/>
            </w14:solidFill>
          </w14:textFill>
        </w:rPr>
        <w:t>جدول (1) توزيع أفراد عينة الدراسة</w:t>
      </w:r>
    </w:p>
    <w:tbl>
      <w:tblPr>
        <w:tblStyle w:val="14"/>
        <w:tblpPr w:leftFromText="180" w:rightFromText="180" w:vertAnchor="text" w:horzAnchor="margin" w:tblpXSpec="center" w:tblpY="266"/>
        <w:bidiVisual/>
        <w:tblW w:w="9917" w:type="dxa"/>
        <w:tblInd w:w="0" w:type="dxa"/>
        <w:tblBorders>
          <w:top w:val="single" w:color="A5A5A5" w:themeColor="accent3" w:sz="4" w:space="0"/>
          <w:left w:val="none" w:color="auto" w:sz="0" w:space="0"/>
          <w:bottom w:val="single" w:color="A5A5A5" w:themeColor="accent3"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372"/>
        <w:gridCol w:w="2013"/>
        <w:gridCol w:w="2106"/>
        <w:gridCol w:w="2426"/>
      </w:tblGrid>
      <w:tr w14:paraId="578FF2F3">
        <w:tblPrEx>
          <w:tblBorders>
            <w:top w:val="single" w:color="A5A5A5" w:themeColor="accent3" w:sz="4" w:space="0"/>
            <w:left w:val="none" w:color="auto" w:sz="0" w:space="0"/>
            <w:bottom w:val="single" w:color="A5A5A5" w:themeColor="accent3"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8" w:hRule="atLeast"/>
        </w:trPr>
        <w:tc>
          <w:tcPr>
            <w:tcW w:w="3372" w:type="dxa"/>
            <w:tcBorders>
              <w:top w:val="single" w:color="auto" w:sz="4" w:space="0"/>
              <w:bottom w:val="single" w:color="auto" w:sz="4" w:space="0"/>
            </w:tcBorders>
          </w:tcPr>
          <w:p w14:paraId="3B21F42C">
            <w:pPr>
              <w:bidi/>
              <w:spacing w:after="0" w:line="240" w:lineRule="auto"/>
              <w:jc w:val="lowKashida"/>
              <w:rPr>
                <w:rFonts w:eastAsia="Times New Roman" w:asciiTheme="majorBidi" w:hAnsiTheme="majorBidi" w:cstheme="majorBidi"/>
                <w:b/>
                <w:bCs/>
                <w:color w:val="auto"/>
                <w:sz w:val="20"/>
                <w:szCs w:val="20"/>
                <w:rtl/>
              </w:rPr>
            </w:pPr>
            <w:r>
              <w:rPr>
                <w:rFonts w:eastAsia="Times New Roman" w:asciiTheme="majorBidi" w:hAnsiTheme="majorBidi" w:cstheme="majorBidi"/>
                <w:b/>
                <w:bCs/>
                <w:color w:val="auto"/>
                <w:sz w:val="20"/>
                <w:szCs w:val="20"/>
                <w:rtl/>
              </w:rPr>
              <w:t>المتغير</w:t>
            </w:r>
          </w:p>
        </w:tc>
        <w:tc>
          <w:tcPr>
            <w:tcW w:w="2013" w:type="dxa"/>
            <w:tcBorders>
              <w:top w:val="single" w:color="auto" w:sz="4" w:space="0"/>
              <w:bottom w:val="single" w:color="auto" w:sz="4" w:space="0"/>
            </w:tcBorders>
          </w:tcPr>
          <w:p w14:paraId="20A116A6">
            <w:pPr>
              <w:bidi/>
              <w:spacing w:after="0" w:line="240" w:lineRule="auto"/>
              <w:jc w:val="lowKashida"/>
              <w:rPr>
                <w:rFonts w:eastAsia="Times New Roman" w:asciiTheme="majorBidi" w:hAnsiTheme="majorBidi" w:cstheme="majorBidi"/>
                <w:b/>
                <w:bCs/>
                <w:color w:val="auto"/>
                <w:sz w:val="20"/>
                <w:szCs w:val="20"/>
                <w:rtl/>
              </w:rPr>
            </w:pPr>
            <w:r>
              <w:rPr>
                <w:rFonts w:eastAsia="Times New Roman" w:asciiTheme="majorBidi" w:hAnsiTheme="majorBidi" w:cstheme="majorBidi"/>
                <w:b/>
                <w:bCs/>
                <w:color w:val="auto"/>
                <w:sz w:val="20"/>
                <w:szCs w:val="20"/>
                <w:rtl/>
              </w:rPr>
              <w:t>الفئة</w:t>
            </w:r>
          </w:p>
        </w:tc>
        <w:tc>
          <w:tcPr>
            <w:tcW w:w="2106" w:type="dxa"/>
            <w:tcBorders>
              <w:top w:val="single" w:color="auto" w:sz="4" w:space="0"/>
              <w:bottom w:val="single" w:color="auto" w:sz="4" w:space="0"/>
            </w:tcBorders>
          </w:tcPr>
          <w:p w14:paraId="5EEEAFE6">
            <w:pPr>
              <w:bidi/>
              <w:spacing w:after="0" w:line="240" w:lineRule="auto"/>
              <w:jc w:val="lowKashida"/>
              <w:rPr>
                <w:rFonts w:eastAsia="Times New Roman" w:asciiTheme="majorBidi" w:hAnsiTheme="majorBidi" w:cstheme="majorBidi"/>
                <w:b/>
                <w:bCs/>
                <w:color w:val="auto"/>
                <w:sz w:val="20"/>
                <w:szCs w:val="20"/>
                <w:rtl/>
              </w:rPr>
            </w:pPr>
            <w:r>
              <w:rPr>
                <w:rFonts w:eastAsia="Times New Roman" w:asciiTheme="majorBidi" w:hAnsiTheme="majorBidi" w:cstheme="majorBidi"/>
                <w:b/>
                <w:bCs/>
                <w:color w:val="auto"/>
                <w:sz w:val="20"/>
                <w:szCs w:val="20"/>
                <w:rtl/>
              </w:rPr>
              <w:t>التكرار</w:t>
            </w:r>
          </w:p>
        </w:tc>
        <w:tc>
          <w:tcPr>
            <w:tcW w:w="2426" w:type="dxa"/>
            <w:tcBorders>
              <w:top w:val="single" w:color="auto" w:sz="4" w:space="0"/>
              <w:bottom w:val="single" w:color="auto" w:sz="4" w:space="0"/>
            </w:tcBorders>
          </w:tcPr>
          <w:p w14:paraId="05DF0358">
            <w:pPr>
              <w:bidi/>
              <w:spacing w:after="0" w:line="240" w:lineRule="auto"/>
              <w:jc w:val="lowKashida"/>
              <w:rPr>
                <w:rFonts w:eastAsia="Times New Roman" w:asciiTheme="majorBidi" w:hAnsiTheme="majorBidi" w:cstheme="majorBidi"/>
                <w:b/>
                <w:bCs/>
                <w:color w:val="auto"/>
                <w:sz w:val="20"/>
                <w:szCs w:val="20"/>
                <w:rtl/>
              </w:rPr>
            </w:pPr>
            <w:r>
              <w:rPr>
                <w:rFonts w:eastAsia="Times New Roman" w:asciiTheme="majorBidi" w:hAnsiTheme="majorBidi" w:cstheme="majorBidi"/>
                <w:b/>
                <w:bCs/>
                <w:color w:val="auto"/>
                <w:sz w:val="20"/>
                <w:szCs w:val="20"/>
                <w:rtl/>
              </w:rPr>
              <w:t>النسبة المئوية</w:t>
            </w:r>
          </w:p>
        </w:tc>
      </w:tr>
      <w:tr w14:paraId="0D1C65E8">
        <w:tblPrEx>
          <w:tblBorders>
            <w:top w:val="single" w:color="A5A5A5" w:themeColor="accent3" w:sz="4" w:space="0"/>
            <w:left w:val="none" w:color="auto" w:sz="0" w:space="0"/>
            <w:bottom w:val="single" w:color="A5A5A5" w:themeColor="accent3"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8" w:hRule="atLeast"/>
        </w:trPr>
        <w:tc>
          <w:tcPr>
            <w:tcW w:w="3372" w:type="dxa"/>
            <w:vMerge w:val="restart"/>
            <w:tcBorders>
              <w:top w:val="single" w:color="auto" w:sz="4" w:space="0"/>
              <w:bottom w:val="nil"/>
            </w:tcBorders>
            <w:shd w:val="clear" w:color="auto" w:fill="auto"/>
          </w:tcPr>
          <w:p w14:paraId="48684605">
            <w:pPr>
              <w:bidi/>
              <w:spacing w:after="0" w:line="240" w:lineRule="auto"/>
              <w:jc w:val="lowKashida"/>
              <w:rPr>
                <w:rFonts w:eastAsia="Times New Roman" w:asciiTheme="majorBidi" w:hAnsiTheme="majorBidi" w:cstheme="majorBidi"/>
                <w:b/>
                <w:bCs/>
                <w:color w:val="auto"/>
                <w:sz w:val="20"/>
                <w:szCs w:val="20"/>
                <w:rtl/>
              </w:rPr>
            </w:pPr>
            <w:r>
              <w:rPr>
                <w:rFonts w:eastAsia="Times New Roman" w:asciiTheme="majorBidi" w:hAnsiTheme="majorBidi" w:cstheme="majorBidi"/>
                <w:b/>
                <w:bCs/>
                <w:color w:val="auto"/>
                <w:sz w:val="20"/>
                <w:szCs w:val="20"/>
                <w:rtl/>
              </w:rPr>
              <w:t>الجنس</w:t>
            </w:r>
          </w:p>
        </w:tc>
        <w:tc>
          <w:tcPr>
            <w:tcW w:w="2013" w:type="dxa"/>
            <w:tcBorders>
              <w:top w:val="single" w:color="auto" w:sz="4" w:space="0"/>
              <w:bottom w:val="nil"/>
            </w:tcBorders>
            <w:shd w:val="clear" w:color="auto" w:fill="auto"/>
          </w:tcPr>
          <w:p w14:paraId="6352FD50">
            <w:pPr>
              <w:bidi/>
              <w:spacing w:after="0" w:line="240" w:lineRule="auto"/>
              <w:jc w:val="lowKashida"/>
              <w:rPr>
                <w:rFonts w:eastAsia="Times New Roman" w:asciiTheme="majorBidi" w:hAnsiTheme="majorBidi" w:cstheme="majorBidi"/>
                <w:color w:val="auto"/>
                <w:sz w:val="20"/>
                <w:szCs w:val="20"/>
                <w:rtl/>
              </w:rPr>
            </w:pPr>
            <w:r>
              <w:rPr>
                <w:rFonts w:eastAsia="Times New Roman" w:asciiTheme="majorBidi" w:hAnsiTheme="majorBidi" w:cstheme="majorBidi"/>
                <w:color w:val="auto"/>
                <w:sz w:val="20"/>
                <w:szCs w:val="20"/>
                <w:rtl/>
              </w:rPr>
              <w:t>ذكر</w:t>
            </w:r>
          </w:p>
        </w:tc>
        <w:tc>
          <w:tcPr>
            <w:tcW w:w="2106" w:type="dxa"/>
            <w:tcBorders>
              <w:top w:val="single" w:color="auto" w:sz="4" w:space="0"/>
              <w:bottom w:val="nil"/>
            </w:tcBorders>
            <w:shd w:val="clear" w:color="auto" w:fill="auto"/>
          </w:tcPr>
          <w:p w14:paraId="01CCDB8E">
            <w:pPr>
              <w:bidi/>
              <w:spacing w:after="0" w:line="240" w:lineRule="auto"/>
              <w:jc w:val="lowKashida"/>
              <w:rPr>
                <w:rFonts w:eastAsia="Times New Roman" w:asciiTheme="majorBidi" w:hAnsiTheme="majorBidi" w:cstheme="majorBidi"/>
                <w:color w:val="auto"/>
                <w:sz w:val="20"/>
                <w:szCs w:val="20"/>
                <w:rtl/>
              </w:rPr>
            </w:pPr>
            <w:r>
              <w:rPr>
                <w:rFonts w:eastAsia="Times New Roman" w:asciiTheme="majorBidi" w:hAnsiTheme="majorBidi" w:cstheme="majorBidi"/>
                <w:color w:val="auto"/>
                <w:sz w:val="20"/>
                <w:szCs w:val="20"/>
                <w:rtl/>
              </w:rPr>
              <w:t>190</w:t>
            </w:r>
          </w:p>
        </w:tc>
        <w:tc>
          <w:tcPr>
            <w:tcW w:w="2426" w:type="dxa"/>
            <w:tcBorders>
              <w:top w:val="single" w:color="auto" w:sz="4" w:space="0"/>
              <w:bottom w:val="nil"/>
            </w:tcBorders>
            <w:shd w:val="clear" w:color="auto" w:fill="auto"/>
          </w:tcPr>
          <w:p w14:paraId="2B0F82DF">
            <w:pPr>
              <w:bidi/>
              <w:spacing w:after="0" w:line="240" w:lineRule="auto"/>
              <w:jc w:val="lowKashida"/>
              <w:rPr>
                <w:rFonts w:eastAsia="Times New Roman" w:asciiTheme="majorBidi" w:hAnsiTheme="majorBidi" w:cstheme="majorBidi"/>
                <w:color w:val="auto"/>
                <w:sz w:val="20"/>
                <w:szCs w:val="20"/>
                <w:rtl/>
              </w:rPr>
            </w:pPr>
            <w:r>
              <w:rPr>
                <w:rFonts w:eastAsia="Times New Roman" w:asciiTheme="majorBidi" w:hAnsiTheme="majorBidi" w:cstheme="majorBidi"/>
                <w:color w:val="auto"/>
                <w:sz w:val="20"/>
                <w:szCs w:val="20"/>
                <w:rtl/>
              </w:rPr>
              <w:t>49.5</w:t>
            </w:r>
          </w:p>
        </w:tc>
      </w:tr>
      <w:tr w14:paraId="45EEBB43">
        <w:tblPrEx>
          <w:tblBorders>
            <w:top w:val="single" w:color="A5A5A5" w:themeColor="accent3" w:sz="4" w:space="0"/>
            <w:left w:val="none" w:color="auto" w:sz="0" w:space="0"/>
            <w:bottom w:val="single" w:color="A5A5A5" w:themeColor="accent3"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8" w:hRule="atLeast"/>
        </w:trPr>
        <w:tc>
          <w:tcPr>
            <w:tcW w:w="3372" w:type="dxa"/>
            <w:vMerge w:val="continue"/>
            <w:tcBorders>
              <w:top w:val="nil"/>
              <w:bottom w:val="single" w:color="auto" w:sz="4" w:space="0"/>
            </w:tcBorders>
          </w:tcPr>
          <w:p w14:paraId="157E24F0">
            <w:pPr>
              <w:bidi/>
              <w:spacing w:after="0" w:line="240" w:lineRule="auto"/>
              <w:jc w:val="lowKashida"/>
              <w:rPr>
                <w:rFonts w:eastAsia="Times New Roman" w:asciiTheme="majorBidi" w:hAnsiTheme="majorBidi" w:cstheme="majorBidi"/>
                <w:b/>
                <w:bCs/>
                <w:color w:val="auto"/>
                <w:sz w:val="20"/>
                <w:szCs w:val="20"/>
                <w:rtl/>
              </w:rPr>
            </w:pPr>
          </w:p>
        </w:tc>
        <w:tc>
          <w:tcPr>
            <w:tcW w:w="2013" w:type="dxa"/>
            <w:tcBorders>
              <w:top w:val="nil"/>
              <w:bottom w:val="single" w:color="auto" w:sz="4" w:space="0"/>
            </w:tcBorders>
          </w:tcPr>
          <w:p w14:paraId="235BD2BF">
            <w:pPr>
              <w:bidi/>
              <w:spacing w:after="0" w:line="240" w:lineRule="auto"/>
              <w:jc w:val="lowKashida"/>
              <w:rPr>
                <w:rFonts w:eastAsia="Times New Roman" w:asciiTheme="majorBidi" w:hAnsiTheme="majorBidi" w:cstheme="majorBidi"/>
                <w:color w:val="auto"/>
                <w:sz w:val="20"/>
                <w:szCs w:val="20"/>
                <w:rtl/>
              </w:rPr>
            </w:pPr>
            <w:r>
              <w:rPr>
                <w:rFonts w:eastAsia="Times New Roman" w:asciiTheme="majorBidi" w:hAnsiTheme="majorBidi" w:cstheme="majorBidi"/>
                <w:color w:val="auto"/>
                <w:sz w:val="20"/>
                <w:szCs w:val="20"/>
                <w:rtl/>
              </w:rPr>
              <w:t>أنثى</w:t>
            </w:r>
          </w:p>
        </w:tc>
        <w:tc>
          <w:tcPr>
            <w:tcW w:w="2106" w:type="dxa"/>
            <w:tcBorders>
              <w:top w:val="nil"/>
              <w:bottom w:val="single" w:color="auto" w:sz="4" w:space="0"/>
            </w:tcBorders>
          </w:tcPr>
          <w:p w14:paraId="14B0AEC6">
            <w:pPr>
              <w:bidi/>
              <w:spacing w:after="0" w:line="240" w:lineRule="auto"/>
              <w:jc w:val="lowKashida"/>
              <w:rPr>
                <w:rFonts w:eastAsia="Times New Roman" w:asciiTheme="majorBidi" w:hAnsiTheme="majorBidi" w:cstheme="majorBidi"/>
                <w:color w:val="auto"/>
                <w:sz w:val="20"/>
                <w:szCs w:val="20"/>
                <w:rtl/>
              </w:rPr>
            </w:pPr>
            <w:r>
              <w:rPr>
                <w:rFonts w:eastAsia="Times New Roman" w:asciiTheme="majorBidi" w:hAnsiTheme="majorBidi" w:cstheme="majorBidi"/>
                <w:color w:val="auto"/>
                <w:sz w:val="20"/>
                <w:szCs w:val="20"/>
                <w:rtl/>
              </w:rPr>
              <w:t>194</w:t>
            </w:r>
          </w:p>
        </w:tc>
        <w:tc>
          <w:tcPr>
            <w:tcW w:w="2426" w:type="dxa"/>
            <w:tcBorders>
              <w:top w:val="nil"/>
              <w:bottom w:val="single" w:color="auto" w:sz="4" w:space="0"/>
            </w:tcBorders>
          </w:tcPr>
          <w:p w14:paraId="592D9D0C">
            <w:pPr>
              <w:bidi/>
              <w:spacing w:after="0" w:line="240" w:lineRule="auto"/>
              <w:jc w:val="lowKashida"/>
              <w:rPr>
                <w:rFonts w:eastAsia="Times New Roman" w:asciiTheme="majorBidi" w:hAnsiTheme="majorBidi" w:cstheme="majorBidi"/>
                <w:color w:val="auto"/>
                <w:sz w:val="20"/>
                <w:szCs w:val="20"/>
                <w:rtl/>
              </w:rPr>
            </w:pPr>
            <w:r>
              <w:rPr>
                <w:rFonts w:eastAsia="Times New Roman" w:asciiTheme="majorBidi" w:hAnsiTheme="majorBidi" w:cstheme="majorBidi"/>
                <w:color w:val="auto"/>
                <w:sz w:val="20"/>
                <w:szCs w:val="20"/>
                <w:rtl/>
              </w:rPr>
              <w:t>50.5</w:t>
            </w:r>
          </w:p>
        </w:tc>
      </w:tr>
      <w:tr w14:paraId="508482F0">
        <w:tblPrEx>
          <w:tblBorders>
            <w:top w:val="single" w:color="A5A5A5" w:themeColor="accent3" w:sz="4" w:space="0"/>
            <w:left w:val="none" w:color="auto" w:sz="0" w:space="0"/>
            <w:bottom w:val="single" w:color="A5A5A5" w:themeColor="accent3"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 w:hRule="atLeast"/>
        </w:trPr>
        <w:tc>
          <w:tcPr>
            <w:tcW w:w="3372" w:type="dxa"/>
            <w:vMerge w:val="restart"/>
            <w:tcBorders>
              <w:top w:val="single" w:color="auto" w:sz="4" w:space="0"/>
              <w:bottom w:val="nil"/>
            </w:tcBorders>
            <w:shd w:val="clear" w:color="auto" w:fill="auto"/>
          </w:tcPr>
          <w:p w14:paraId="7292D460">
            <w:pPr>
              <w:bidi/>
              <w:spacing w:after="0" w:line="240" w:lineRule="auto"/>
              <w:jc w:val="lowKashida"/>
              <w:rPr>
                <w:rFonts w:eastAsia="Times New Roman" w:asciiTheme="majorBidi" w:hAnsiTheme="majorBidi" w:cstheme="majorBidi"/>
                <w:b/>
                <w:bCs/>
                <w:color w:val="auto"/>
                <w:sz w:val="20"/>
                <w:szCs w:val="20"/>
                <w:rtl/>
              </w:rPr>
            </w:pPr>
            <w:r>
              <w:rPr>
                <w:rFonts w:eastAsia="Times New Roman" w:asciiTheme="majorBidi" w:hAnsiTheme="majorBidi" w:cstheme="majorBidi"/>
                <w:b/>
                <w:bCs/>
                <w:color w:val="auto"/>
                <w:sz w:val="20"/>
                <w:szCs w:val="20"/>
                <w:rtl/>
              </w:rPr>
              <w:t>العمر</w:t>
            </w:r>
          </w:p>
        </w:tc>
        <w:tc>
          <w:tcPr>
            <w:tcW w:w="2013" w:type="dxa"/>
            <w:tcBorders>
              <w:top w:val="single" w:color="auto" w:sz="4" w:space="0"/>
              <w:bottom w:val="nil"/>
            </w:tcBorders>
            <w:shd w:val="clear" w:color="auto" w:fill="auto"/>
          </w:tcPr>
          <w:p w14:paraId="05EA5B51">
            <w:pPr>
              <w:bidi/>
              <w:spacing w:after="0" w:line="240" w:lineRule="auto"/>
              <w:jc w:val="lowKashida"/>
              <w:rPr>
                <w:rFonts w:eastAsia="Times New Roman" w:asciiTheme="majorBidi" w:hAnsiTheme="majorBidi" w:cstheme="majorBidi"/>
                <w:color w:val="auto"/>
                <w:sz w:val="20"/>
                <w:szCs w:val="20"/>
                <w:rtl/>
              </w:rPr>
            </w:pPr>
            <w:r>
              <w:rPr>
                <w:rFonts w:eastAsia="Times New Roman" w:asciiTheme="majorBidi" w:hAnsiTheme="majorBidi" w:cstheme="majorBidi"/>
                <w:color w:val="auto"/>
                <w:sz w:val="20"/>
                <w:szCs w:val="20"/>
                <w:rtl/>
              </w:rPr>
              <w:t>أقل من 20 سنة</w:t>
            </w:r>
          </w:p>
        </w:tc>
        <w:tc>
          <w:tcPr>
            <w:tcW w:w="2106" w:type="dxa"/>
            <w:tcBorders>
              <w:top w:val="single" w:color="auto" w:sz="4" w:space="0"/>
              <w:bottom w:val="nil"/>
            </w:tcBorders>
            <w:shd w:val="clear" w:color="auto" w:fill="auto"/>
          </w:tcPr>
          <w:p w14:paraId="0ABDF065">
            <w:pPr>
              <w:bidi/>
              <w:spacing w:after="0" w:line="240" w:lineRule="auto"/>
              <w:jc w:val="lowKashida"/>
              <w:rPr>
                <w:rFonts w:eastAsia="Times New Roman" w:asciiTheme="majorBidi" w:hAnsiTheme="majorBidi" w:cstheme="majorBidi"/>
                <w:color w:val="auto"/>
                <w:sz w:val="20"/>
                <w:szCs w:val="20"/>
                <w:rtl/>
              </w:rPr>
            </w:pPr>
            <w:r>
              <w:rPr>
                <w:rFonts w:eastAsia="Times New Roman" w:asciiTheme="majorBidi" w:hAnsiTheme="majorBidi" w:cstheme="majorBidi"/>
                <w:color w:val="auto"/>
                <w:sz w:val="20"/>
                <w:szCs w:val="20"/>
                <w:rtl/>
              </w:rPr>
              <w:t>83</w:t>
            </w:r>
          </w:p>
        </w:tc>
        <w:tc>
          <w:tcPr>
            <w:tcW w:w="2426" w:type="dxa"/>
            <w:tcBorders>
              <w:top w:val="single" w:color="auto" w:sz="4" w:space="0"/>
              <w:bottom w:val="nil"/>
            </w:tcBorders>
            <w:shd w:val="clear" w:color="auto" w:fill="auto"/>
          </w:tcPr>
          <w:p w14:paraId="33BC0E7C">
            <w:pPr>
              <w:bidi/>
              <w:spacing w:after="0" w:line="240" w:lineRule="auto"/>
              <w:jc w:val="lowKashida"/>
              <w:rPr>
                <w:rFonts w:eastAsia="Times New Roman" w:asciiTheme="majorBidi" w:hAnsiTheme="majorBidi" w:cstheme="majorBidi"/>
                <w:color w:val="auto"/>
                <w:sz w:val="20"/>
                <w:szCs w:val="20"/>
                <w:rtl/>
              </w:rPr>
            </w:pPr>
            <w:r>
              <w:rPr>
                <w:rFonts w:eastAsia="Times New Roman" w:asciiTheme="majorBidi" w:hAnsiTheme="majorBidi" w:cstheme="majorBidi"/>
                <w:color w:val="auto"/>
                <w:sz w:val="20"/>
                <w:szCs w:val="20"/>
                <w:rtl/>
              </w:rPr>
              <w:t>21.6</w:t>
            </w:r>
          </w:p>
        </w:tc>
      </w:tr>
      <w:tr w14:paraId="5488E397">
        <w:tblPrEx>
          <w:tblBorders>
            <w:top w:val="single" w:color="A5A5A5" w:themeColor="accent3" w:sz="4" w:space="0"/>
            <w:left w:val="none" w:color="auto" w:sz="0" w:space="0"/>
            <w:bottom w:val="single" w:color="A5A5A5" w:themeColor="accent3"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5" w:hRule="atLeast"/>
        </w:trPr>
        <w:tc>
          <w:tcPr>
            <w:tcW w:w="3372" w:type="dxa"/>
            <w:vMerge w:val="continue"/>
            <w:tcBorders>
              <w:top w:val="nil"/>
              <w:bottom w:val="nil"/>
            </w:tcBorders>
          </w:tcPr>
          <w:p w14:paraId="06A00D81">
            <w:pPr>
              <w:bidi/>
              <w:spacing w:after="0" w:line="240" w:lineRule="auto"/>
              <w:jc w:val="lowKashida"/>
              <w:rPr>
                <w:rFonts w:eastAsia="Times New Roman" w:asciiTheme="majorBidi" w:hAnsiTheme="majorBidi" w:cstheme="majorBidi"/>
                <w:b/>
                <w:bCs/>
                <w:color w:val="auto"/>
                <w:sz w:val="20"/>
                <w:szCs w:val="20"/>
                <w:rtl/>
              </w:rPr>
            </w:pPr>
          </w:p>
        </w:tc>
        <w:tc>
          <w:tcPr>
            <w:tcW w:w="2013" w:type="dxa"/>
            <w:tcBorders>
              <w:top w:val="nil"/>
              <w:bottom w:val="nil"/>
            </w:tcBorders>
          </w:tcPr>
          <w:p w14:paraId="4532B8F2">
            <w:pPr>
              <w:bidi/>
              <w:spacing w:after="0" w:line="240" w:lineRule="auto"/>
              <w:jc w:val="lowKashida"/>
              <w:rPr>
                <w:rFonts w:eastAsia="Times New Roman" w:asciiTheme="majorBidi" w:hAnsiTheme="majorBidi" w:cstheme="majorBidi"/>
                <w:color w:val="auto"/>
                <w:sz w:val="20"/>
                <w:szCs w:val="20"/>
                <w:rtl/>
              </w:rPr>
            </w:pPr>
            <w:r>
              <w:rPr>
                <w:rFonts w:eastAsia="Times New Roman" w:asciiTheme="majorBidi" w:hAnsiTheme="majorBidi" w:cstheme="majorBidi"/>
                <w:color w:val="auto"/>
                <w:sz w:val="20"/>
                <w:szCs w:val="20"/>
                <w:rtl/>
              </w:rPr>
              <w:t>من 20-29 سنة</w:t>
            </w:r>
          </w:p>
        </w:tc>
        <w:tc>
          <w:tcPr>
            <w:tcW w:w="2106" w:type="dxa"/>
            <w:tcBorders>
              <w:top w:val="nil"/>
              <w:bottom w:val="nil"/>
            </w:tcBorders>
          </w:tcPr>
          <w:p w14:paraId="45EE06C3">
            <w:pPr>
              <w:bidi/>
              <w:spacing w:after="0" w:line="240" w:lineRule="auto"/>
              <w:jc w:val="lowKashida"/>
              <w:rPr>
                <w:rFonts w:eastAsia="Times New Roman" w:asciiTheme="majorBidi" w:hAnsiTheme="majorBidi" w:cstheme="majorBidi"/>
                <w:color w:val="auto"/>
                <w:sz w:val="20"/>
                <w:szCs w:val="20"/>
                <w:rtl/>
              </w:rPr>
            </w:pPr>
            <w:r>
              <w:rPr>
                <w:rFonts w:eastAsia="Times New Roman" w:asciiTheme="majorBidi" w:hAnsiTheme="majorBidi" w:cstheme="majorBidi"/>
                <w:color w:val="auto"/>
                <w:sz w:val="20"/>
                <w:szCs w:val="20"/>
                <w:rtl/>
              </w:rPr>
              <w:t>122</w:t>
            </w:r>
          </w:p>
        </w:tc>
        <w:tc>
          <w:tcPr>
            <w:tcW w:w="2426" w:type="dxa"/>
            <w:tcBorders>
              <w:top w:val="nil"/>
              <w:bottom w:val="nil"/>
            </w:tcBorders>
          </w:tcPr>
          <w:p w14:paraId="5786416D">
            <w:pPr>
              <w:bidi/>
              <w:spacing w:after="0" w:line="240" w:lineRule="auto"/>
              <w:jc w:val="lowKashida"/>
              <w:rPr>
                <w:rFonts w:eastAsia="Times New Roman" w:asciiTheme="majorBidi" w:hAnsiTheme="majorBidi" w:cstheme="majorBidi"/>
                <w:color w:val="auto"/>
                <w:sz w:val="20"/>
                <w:szCs w:val="20"/>
                <w:rtl/>
              </w:rPr>
            </w:pPr>
            <w:r>
              <w:rPr>
                <w:rFonts w:eastAsia="Times New Roman" w:asciiTheme="majorBidi" w:hAnsiTheme="majorBidi" w:cstheme="majorBidi"/>
                <w:color w:val="auto"/>
                <w:sz w:val="20"/>
                <w:szCs w:val="20"/>
                <w:rtl/>
              </w:rPr>
              <w:t>31.8</w:t>
            </w:r>
          </w:p>
        </w:tc>
      </w:tr>
      <w:tr w14:paraId="5DB23AC8">
        <w:tblPrEx>
          <w:tblBorders>
            <w:top w:val="single" w:color="A5A5A5" w:themeColor="accent3" w:sz="4" w:space="0"/>
            <w:left w:val="none" w:color="auto" w:sz="0" w:space="0"/>
            <w:bottom w:val="single" w:color="A5A5A5" w:themeColor="accent3"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3372" w:type="dxa"/>
            <w:vMerge w:val="continue"/>
            <w:tcBorders>
              <w:top w:val="nil"/>
              <w:bottom w:val="nil"/>
            </w:tcBorders>
            <w:shd w:val="clear" w:color="auto" w:fill="auto"/>
          </w:tcPr>
          <w:p w14:paraId="228FEE66">
            <w:pPr>
              <w:bidi/>
              <w:spacing w:after="0" w:line="240" w:lineRule="auto"/>
              <w:jc w:val="lowKashida"/>
              <w:rPr>
                <w:rFonts w:eastAsia="Times New Roman" w:asciiTheme="majorBidi" w:hAnsiTheme="majorBidi" w:cstheme="majorBidi"/>
                <w:b/>
                <w:bCs/>
                <w:color w:val="auto"/>
                <w:sz w:val="20"/>
                <w:szCs w:val="20"/>
                <w:rtl/>
              </w:rPr>
            </w:pPr>
          </w:p>
        </w:tc>
        <w:tc>
          <w:tcPr>
            <w:tcW w:w="2013" w:type="dxa"/>
            <w:tcBorders>
              <w:top w:val="nil"/>
              <w:bottom w:val="nil"/>
            </w:tcBorders>
            <w:shd w:val="clear" w:color="auto" w:fill="auto"/>
          </w:tcPr>
          <w:p w14:paraId="06B99108">
            <w:pPr>
              <w:bidi/>
              <w:spacing w:after="0" w:line="240" w:lineRule="auto"/>
              <w:jc w:val="lowKashida"/>
              <w:rPr>
                <w:rFonts w:eastAsia="Times New Roman" w:asciiTheme="majorBidi" w:hAnsiTheme="majorBidi" w:cstheme="majorBidi"/>
                <w:color w:val="auto"/>
                <w:sz w:val="20"/>
                <w:szCs w:val="20"/>
                <w:rtl/>
              </w:rPr>
            </w:pPr>
            <w:r>
              <w:rPr>
                <w:rFonts w:eastAsia="Times New Roman" w:asciiTheme="majorBidi" w:hAnsiTheme="majorBidi" w:cstheme="majorBidi"/>
                <w:color w:val="auto"/>
                <w:sz w:val="20"/>
                <w:szCs w:val="20"/>
                <w:rtl/>
              </w:rPr>
              <w:t>من 30 -39 سنة</w:t>
            </w:r>
          </w:p>
        </w:tc>
        <w:tc>
          <w:tcPr>
            <w:tcW w:w="2106" w:type="dxa"/>
            <w:tcBorders>
              <w:top w:val="nil"/>
              <w:bottom w:val="nil"/>
            </w:tcBorders>
            <w:shd w:val="clear" w:color="auto" w:fill="auto"/>
          </w:tcPr>
          <w:p w14:paraId="17FD8872">
            <w:pPr>
              <w:bidi/>
              <w:spacing w:after="0" w:line="240" w:lineRule="auto"/>
              <w:jc w:val="lowKashida"/>
              <w:rPr>
                <w:rFonts w:eastAsia="Times New Roman" w:asciiTheme="majorBidi" w:hAnsiTheme="majorBidi" w:cstheme="majorBidi"/>
                <w:color w:val="auto"/>
                <w:sz w:val="20"/>
                <w:szCs w:val="20"/>
                <w:rtl/>
              </w:rPr>
            </w:pPr>
            <w:r>
              <w:rPr>
                <w:rFonts w:eastAsia="Times New Roman" w:asciiTheme="majorBidi" w:hAnsiTheme="majorBidi" w:cstheme="majorBidi"/>
                <w:color w:val="auto"/>
                <w:sz w:val="20"/>
                <w:szCs w:val="20"/>
                <w:rtl/>
              </w:rPr>
              <w:t>98</w:t>
            </w:r>
          </w:p>
        </w:tc>
        <w:tc>
          <w:tcPr>
            <w:tcW w:w="2426" w:type="dxa"/>
            <w:tcBorders>
              <w:top w:val="nil"/>
              <w:bottom w:val="nil"/>
            </w:tcBorders>
            <w:shd w:val="clear" w:color="auto" w:fill="auto"/>
          </w:tcPr>
          <w:p w14:paraId="74683B27">
            <w:pPr>
              <w:bidi/>
              <w:spacing w:after="0" w:line="240" w:lineRule="auto"/>
              <w:jc w:val="lowKashida"/>
              <w:rPr>
                <w:rFonts w:eastAsia="Times New Roman" w:asciiTheme="majorBidi" w:hAnsiTheme="majorBidi" w:cstheme="majorBidi"/>
                <w:color w:val="auto"/>
                <w:sz w:val="20"/>
                <w:szCs w:val="20"/>
                <w:rtl/>
              </w:rPr>
            </w:pPr>
            <w:r>
              <w:rPr>
                <w:rFonts w:eastAsia="Times New Roman" w:asciiTheme="majorBidi" w:hAnsiTheme="majorBidi" w:cstheme="majorBidi"/>
                <w:color w:val="auto"/>
                <w:sz w:val="20"/>
                <w:szCs w:val="20"/>
                <w:rtl/>
              </w:rPr>
              <w:t>25.5</w:t>
            </w:r>
          </w:p>
        </w:tc>
      </w:tr>
      <w:tr w14:paraId="2CE8BB0B">
        <w:tblPrEx>
          <w:tblBorders>
            <w:top w:val="single" w:color="A5A5A5" w:themeColor="accent3" w:sz="4" w:space="0"/>
            <w:left w:val="none" w:color="auto" w:sz="0" w:space="0"/>
            <w:bottom w:val="single" w:color="A5A5A5" w:themeColor="accent3"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8" w:hRule="atLeast"/>
        </w:trPr>
        <w:tc>
          <w:tcPr>
            <w:tcW w:w="3372" w:type="dxa"/>
            <w:vMerge w:val="continue"/>
            <w:tcBorders>
              <w:top w:val="nil"/>
              <w:bottom w:val="nil"/>
            </w:tcBorders>
          </w:tcPr>
          <w:p w14:paraId="1985EEFD">
            <w:pPr>
              <w:bidi/>
              <w:spacing w:after="0" w:line="240" w:lineRule="auto"/>
              <w:jc w:val="lowKashida"/>
              <w:rPr>
                <w:rFonts w:eastAsia="Times New Roman" w:asciiTheme="majorBidi" w:hAnsiTheme="majorBidi" w:cstheme="majorBidi"/>
                <w:b/>
                <w:bCs/>
                <w:color w:val="auto"/>
                <w:sz w:val="20"/>
                <w:szCs w:val="20"/>
                <w:rtl/>
              </w:rPr>
            </w:pPr>
          </w:p>
        </w:tc>
        <w:tc>
          <w:tcPr>
            <w:tcW w:w="2013" w:type="dxa"/>
            <w:tcBorders>
              <w:top w:val="nil"/>
              <w:bottom w:val="nil"/>
            </w:tcBorders>
          </w:tcPr>
          <w:p w14:paraId="422E1BB4">
            <w:pPr>
              <w:bidi/>
              <w:spacing w:after="0" w:line="240" w:lineRule="auto"/>
              <w:jc w:val="lowKashida"/>
              <w:rPr>
                <w:rFonts w:eastAsia="Times New Roman" w:asciiTheme="majorBidi" w:hAnsiTheme="majorBidi" w:cstheme="majorBidi"/>
                <w:color w:val="auto"/>
                <w:sz w:val="20"/>
                <w:szCs w:val="20"/>
                <w:rtl/>
              </w:rPr>
            </w:pPr>
            <w:r>
              <w:rPr>
                <w:rFonts w:eastAsia="Times New Roman" w:asciiTheme="majorBidi" w:hAnsiTheme="majorBidi" w:cstheme="majorBidi"/>
                <w:color w:val="auto"/>
                <w:sz w:val="20"/>
                <w:szCs w:val="20"/>
                <w:rtl/>
              </w:rPr>
              <w:t>40 سنة  فأكثر</w:t>
            </w:r>
          </w:p>
        </w:tc>
        <w:tc>
          <w:tcPr>
            <w:tcW w:w="2106" w:type="dxa"/>
            <w:tcBorders>
              <w:top w:val="nil"/>
              <w:bottom w:val="nil"/>
            </w:tcBorders>
          </w:tcPr>
          <w:p w14:paraId="7DE9A047">
            <w:pPr>
              <w:bidi/>
              <w:spacing w:after="0" w:line="240" w:lineRule="auto"/>
              <w:jc w:val="lowKashida"/>
              <w:rPr>
                <w:rFonts w:eastAsia="Times New Roman" w:asciiTheme="majorBidi" w:hAnsiTheme="majorBidi" w:cstheme="majorBidi"/>
                <w:color w:val="auto"/>
                <w:sz w:val="20"/>
                <w:szCs w:val="20"/>
                <w:rtl/>
              </w:rPr>
            </w:pPr>
            <w:r>
              <w:rPr>
                <w:rFonts w:eastAsia="Times New Roman" w:asciiTheme="majorBidi" w:hAnsiTheme="majorBidi" w:cstheme="majorBidi"/>
                <w:color w:val="auto"/>
                <w:sz w:val="20"/>
                <w:szCs w:val="20"/>
                <w:rtl/>
              </w:rPr>
              <w:t>81</w:t>
            </w:r>
          </w:p>
        </w:tc>
        <w:tc>
          <w:tcPr>
            <w:tcW w:w="2426" w:type="dxa"/>
            <w:tcBorders>
              <w:top w:val="nil"/>
              <w:bottom w:val="nil"/>
            </w:tcBorders>
          </w:tcPr>
          <w:p w14:paraId="06B6C679">
            <w:pPr>
              <w:bidi/>
              <w:spacing w:after="0" w:line="240" w:lineRule="auto"/>
              <w:jc w:val="lowKashida"/>
              <w:rPr>
                <w:rFonts w:eastAsia="Times New Roman" w:asciiTheme="majorBidi" w:hAnsiTheme="majorBidi" w:cstheme="majorBidi"/>
                <w:color w:val="auto"/>
                <w:sz w:val="20"/>
                <w:szCs w:val="20"/>
                <w:rtl/>
              </w:rPr>
            </w:pPr>
            <w:r>
              <w:rPr>
                <w:rFonts w:eastAsia="Times New Roman" w:asciiTheme="majorBidi" w:hAnsiTheme="majorBidi" w:cstheme="majorBidi"/>
                <w:color w:val="auto"/>
                <w:sz w:val="20"/>
                <w:szCs w:val="20"/>
                <w:rtl/>
              </w:rPr>
              <w:t>21.1</w:t>
            </w:r>
          </w:p>
        </w:tc>
      </w:tr>
      <w:tr w14:paraId="26598B23">
        <w:tblPrEx>
          <w:tblBorders>
            <w:top w:val="single" w:color="A5A5A5" w:themeColor="accent3" w:sz="4" w:space="0"/>
            <w:left w:val="none" w:color="auto" w:sz="0" w:space="0"/>
            <w:bottom w:val="single" w:color="A5A5A5" w:themeColor="accent3"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8" w:hRule="atLeast"/>
        </w:trPr>
        <w:tc>
          <w:tcPr>
            <w:tcW w:w="3372" w:type="dxa"/>
            <w:vMerge w:val="restart"/>
            <w:tcBorders>
              <w:top w:val="single" w:color="auto" w:sz="4" w:space="0"/>
              <w:bottom w:val="nil"/>
            </w:tcBorders>
            <w:shd w:val="clear" w:color="auto" w:fill="auto"/>
          </w:tcPr>
          <w:p w14:paraId="775C597A">
            <w:pPr>
              <w:bidi/>
              <w:spacing w:after="0" w:line="240" w:lineRule="auto"/>
              <w:jc w:val="lowKashida"/>
              <w:rPr>
                <w:rFonts w:eastAsia="Times New Roman" w:asciiTheme="majorBidi" w:hAnsiTheme="majorBidi" w:cstheme="majorBidi"/>
                <w:b/>
                <w:bCs/>
                <w:color w:val="auto"/>
                <w:sz w:val="20"/>
                <w:szCs w:val="20"/>
                <w:rtl/>
              </w:rPr>
            </w:pPr>
            <w:r>
              <w:rPr>
                <w:rFonts w:eastAsia="Times New Roman" w:asciiTheme="majorBidi" w:hAnsiTheme="majorBidi" w:cstheme="majorBidi"/>
                <w:b/>
                <w:bCs/>
                <w:color w:val="auto"/>
                <w:sz w:val="20"/>
                <w:szCs w:val="20"/>
                <w:rtl/>
              </w:rPr>
              <w:t>المؤهل العلمي</w:t>
            </w:r>
          </w:p>
        </w:tc>
        <w:tc>
          <w:tcPr>
            <w:tcW w:w="2013" w:type="dxa"/>
            <w:tcBorders>
              <w:top w:val="single" w:color="auto" w:sz="4" w:space="0"/>
              <w:bottom w:val="nil"/>
            </w:tcBorders>
            <w:shd w:val="clear" w:color="auto" w:fill="auto"/>
          </w:tcPr>
          <w:p w14:paraId="2CE19E46">
            <w:pPr>
              <w:bidi/>
              <w:spacing w:after="0" w:line="240" w:lineRule="auto"/>
              <w:jc w:val="lowKashida"/>
              <w:rPr>
                <w:rFonts w:eastAsia="Times New Roman" w:asciiTheme="majorBidi" w:hAnsiTheme="majorBidi" w:cstheme="majorBidi"/>
                <w:color w:val="auto"/>
                <w:sz w:val="20"/>
                <w:szCs w:val="20"/>
                <w:rtl/>
              </w:rPr>
            </w:pPr>
            <w:r>
              <w:rPr>
                <w:rFonts w:asciiTheme="majorBidi" w:hAnsiTheme="majorBidi" w:cstheme="majorBidi"/>
                <w:color w:val="auto"/>
                <w:sz w:val="20"/>
                <w:szCs w:val="20"/>
                <w:rtl/>
              </w:rPr>
              <w:t>تانوي أو أقل</w:t>
            </w:r>
          </w:p>
        </w:tc>
        <w:tc>
          <w:tcPr>
            <w:tcW w:w="2106" w:type="dxa"/>
            <w:tcBorders>
              <w:top w:val="single" w:color="auto" w:sz="4" w:space="0"/>
              <w:bottom w:val="nil"/>
            </w:tcBorders>
            <w:shd w:val="clear" w:color="auto" w:fill="auto"/>
          </w:tcPr>
          <w:p w14:paraId="6681AE22">
            <w:pPr>
              <w:bidi/>
              <w:spacing w:after="0" w:line="240" w:lineRule="auto"/>
              <w:jc w:val="lowKashida"/>
              <w:rPr>
                <w:rFonts w:eastAsia="Times New Roman" w:asciiTheme="majorBidi" w:hAnsiTheme="majorBidi" w:cstheme="majorBidi"/>
                <w:color w:val="auto"/>
                <w:sz w:val="20"/>
                <w:szCs w:val="20"/>
                <w:rtl/>
              </w:rPr>
            </w:pPr>
            <w:r>
              <w:rPr>
                <w:rFonts w:eastAsia="Times New Roman" w:asciiTheme="majorBidi" w:hAnsiTheme="majorBidi" w:cstheme="majorBidi"/>
                <w:color w:val="auto"/>
                <w:sz w:val="20"/>
                <w:szCs w:val="20"/>
                <w:rtl/>
              </w:rPr>
              <w:t>76</w:t>
            </w:r>
          </w:p>
        </w:tc>
        <w:tc>
          <w:tcPr>
            <w:tcW w:w="2426" w:type="dxa"/>
            <w:tcBorders>
              <w:top w:val="single" w:color="auto" w:sz="4" w:space="0"/>
              <w:bottom w:val="nil"/>
            </w:tcBorders>
            <w:shd w:val="clear" w:color="auto" w:fill="auto"/>
          </w:tcPr>
          <w:p w14:paraId="18022BDD">
            <w:pPr>
              <w:bidi/>
              <w:spacing w:after="0" w:line="240" w:lineRule="auto"/>
              <w:jc w:val="lowKashida"/>
              <w:rPr>
                <w:rFonts w:eastAsia="Times New Roman" w:asciiTheme="majorBidi" w:hAnsiTheme="majorBidi" w:cstheme="majorBidi"/>
                <w:color w:val="auto"/>
                <w:sz w:val="20"/>
                <w:szCs w:val="20"/>
                <w:rtl/>
              </w:rPr>
            </w:pPr>
            <w:r>
              <w:rPr>
                <w:rFonts w:eastAsia="Times New Roman" w:asciiTheme="majorBidi" w:hAnsiTheme="majorBidi" w:cstheme="majorBidi"/>
                <w:color w:val="auto"/>
                <w:sz w:val="20"/>
                <w:szCs w:val="20"/>
                <w:rtl/>
              </w:rPr>
              <w:t>19.8</w:t>
            </w:r>
          </w:p>
        </w:tc>
      </w:tr>
      <w:tr w14:paraId="411E8C99">
        <w:tblPrEx>
          <w:tblBorders>
            <w:top w:val="single" w:color="A5A5A5" w:themeColor="accent3" w:sz="4" w:space="0"/>
            <w:left w:val="none" w:color="auto" w:sz="0" w:space="0"/>
            <w:bottom w:val="single" w:color="A5A5A5" w:themeColor="accent3"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8" w:hRule="atLeast"/>
        </w:trPr>
        <w:tc>
          <w:tcPr>
            <w:tcW w:w="3372" w:type="dxa"/>
            <w:vMerge w:val="continue"/>
            <w:tcBorders>
              <w:top w:val="nil"/>
              <w:bottom w:val="nil"/>
            </w:tcBorders>
          </w:tcPr>
          <w:p w14:paraId="543B8CFD">
            <w:pPr>
              <w:bidi/>
              <w:spacing w:after="0" w:line="240" w:lineRule="auto"/>
              <w:jc w:val="lowKashida"/>
              <w:rPr>
                <w:rFonts w:eastAsia="Times New Roman" w:asciiTheme="majorBidi" w:hAnsiTheme="majorBidi" w:cstheme="majorBidi"/>
                <w:b/>
                <w:bCs/>
                <w:color w:val="auto"/>
                <w:sz w:val="20"/>
                <w:szCs w:val="20"/>
                <w:rtl/>
              </w:rPr>
            </w:pPr>
          </w:p>
        </w:tc>
        <w:tc>
          <w:tcPr>
            <w:tcW w:w="2013" w:type="dxa"/>
            <w:tcBorders>
              <w:top w:val="nil"/>
              <w:bottom w:val="nil"/>
            </w:tcBorders>
          </w:tcPr>
          <w:p w14:paraId="0B9CA67F">
            <w:pPr>
              <w:bidi/>
              <w:spacing w:after="0" w:line="240" w:lineRule="auto"/>
              <w:jc w:val="lowKashida"/>
              <w:rPr>
                <w:rFonts w:eastAsia="Times New Roman" w:asciiTheme="majorBidi" w:hAnsiTheme="majorBidi" w:cstheme="majorBidi"/>
                <w:color w:val="auto"/>
                <w:sz w:val="20"/>
                <w:szCs w:val="20"/>
                <w:rtl/>
              </w:rPr>
            </w:pPr>
            <w:r>
              <w:rPr>
                <w:rFonts w:asciiTheme="majorBidi" w:hAnsiTheme="majorBidi" w:cstheme="majorBidi"/>
                <w:color w:val="auto"/>
                <w:sz w:val="20"/>
                <w:szCs w:val="20"/>
                <w:rtl/>
              </w:rPr>
              <w:t>دبلوم</w:t>
            </w:r>
          </w:p>
        </w:tc>
        <w:tc>
          <w:tcPr>
            <w:tcW w:w="2106" w:type="dxa"/>
            <w:tcBorders>
              <w:top w:val="nil"/>
              <w:bottom w:val="nil"/>
            </w:tcBorders>
          </w:tcPr>
          <w:p w14:paraId="13AC0EC9">
            <w:pPr>
              <w:bidi/>
              <w:spacing w:after="0" w:line="240" w:lineRule="auto"/>
              <w:jc w:val="lowKashida"/>
              <w:rPr>
                <w:rFonts w:eastAsia="Times New Roman" w:asciiTheme="majorBidi" w:hAnsiTheme="majorBidi" w:cstheme="majorBidi"/>
                <w:color w:val="auto"/>
                <w:sz w:val="20"/>
                <w:szCs w:val="20"/>
                <w:rtl/>
              </w:rPr>
            </w:pPr>
            <w:r>
              <w:rPr>
                <w:rFonts w:eastAsia="Times New Roman" w:asciiTheme="majorBidi" w:hAnsiTheme="majorBidi" w:cstheme="majorBidi"/>
                <w:color w:val="auto"/>
                <w:sz w:val="20"/>
                <w:szCs w:val="20"/>
                <w:rtl/>
              </w:rPr>
              <w:t>125</w:t>
            </w:r>
          </w:p>
        </w:tc>
        <w:tc>
          <w:tcPr>
            <w:tcW w:w="2426" w:type="dxa"/>
            <w:tcBorders>
              <w:top w:val="nil"/>
              <w:bottom w:val="nil"/>
            </w:tcBorders>
          </w:tcPr>
          <w:p w14:paraId="4ABFF4C8">
            <w:pPr>
              <w:bidi/>
              <w:spacing w:after="0" w:line="240" w:lineRule="auto"/>
              <w:jc w:val="lowKashida"/>
              <w:rPr>
                <w:rFonts w:eastAsia="Times New Roman" w:asciiTheme="majorBidi" w:hAnsiTheme="majorBidi" w:cstheme="majorBidi"/>
                <w:color w:val="auto"/>
                <w:sz w:val="20"/>
                <w:szCs w:val="20"/>
                <w:rtl/>
              </w:rPr>
            </w:pPr>
            <w:r>
              <w:rPr>
                <w:rFonts w:eastAsia="Times New Roman" w:asciiTheme="majorBidi" w:hAnsiTheme="majorBidi" w:cstheme="majorBidi"/>
                <w:color w:val="auto"/>
                <w:sz w:val="20"/>
                <w:szCs w:val="20"/>
                <w:rtl/>
              </w:rPr>
              <w:t>32.6</w:t>
            </w:r>
          </w:p>
        </w:tc>
      </w:tr>
      <w:tr w14:paraId="3CC0E5DA">
        <w:tblPrEx>
          <w:tblBorders>
            <w:top w:val="single" w:color="A5A5A5" w:themeColor="accent3" w:sz="4" w:space="0"/>
            <w:left w:val="none" w:color="auto" w:sz="0" w:space="0"/>
            <w:bottom w:val="single" w:color="A5A5A5" w:themeColor="accent3"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3372" w:type="dxa"/>
            <w:vMerge w:val="continue"/>
            <w:tcBorders>
              <w:top w:val="nil"/>
              <w:bottom w:val="nil"/>
            </w:tcBorders>
            <w:shd w:val="clear" w:color="auto" w:fill="auto"/>
          </w:tcPr>
          <w:p w14:paraId="4C04B1A8">
            <w:pPr>
              <w:bidi/>
              <w:spacing w:after="0" w:line="240" w:lineRule="auto"/>
              <w:jc w:val="lowKashida"/>
              <w:rPr>
                <w:rFonts w:eastAsia="Times New Roman" w:asciiTheme="majorBidi" w:hAnsiTheme="majorBidi" w:cstheme="majorBidi"/>
                <w:b/>
                <w:bCs/>
                <w:color w:val="auto"/>
                <w:sz w:val="20"/>
                <w:szCs w:val="20"/>
                <w:rtl/>
              </w:rPr>
            </w:pPr>
          </w:p>
        </w:tc>
        <w:tc>
          <w:tcPr>
            <w:tcW w:w="2013" w:type="dxa"/>
            <w:tcBorders>
              <w:top w:val="nil"/>
              <w:bottom w:val="nil"/>
            </w:tcBorders>
            <w:shd w:val="clear" w:color="auto" w:fill="auto"/>
          </w:tcPr>
          <w:p w14:paraId="6B205F55">
            <w:pPr>
              <w:bidi/>
              <w:spacing w:after="0" w:line="240" w:lineRule="auto"/>
              <w:jc w:val="lowKashida"/>
              <w:rPr>
                <w:rFonts w:eastAsia="Times New Roman" w:asciiTheme="majorBidi" w:hAnsiTheme="majorBidi" w:cstheme="majorBidi"/>
                <w:color w:val="auto"/>
                <w:sz w:val="20"/>
                <w:szCs w:val="20"/>
                <w:rtl/>
              </w:rPr>
            </w:pPr>
            <w:r>
              <w:rPr>
                <w:rFonts w:asciiTheme="majorBidi" w:hAnsiTheme="majorBidi" w:cstheme="majorBidi"/>
                <w:color w:val="auto"/>
                <w:sz w:val="20"/>
                <w:szCs w:val="20"/>
                <w:rtl/>
              </w:rPr>
              <w:t>بكالوريس</w:t>
            </w:r>
          </w:p>
        </w:tc>
        <w:tc>
          <w:tcPr>
            <w:tcW w:w="2106" w:type="dxa"/>
            <w:tcBorders>
              <w:top w:val="nil"/>
              <w:bottom w:val="nil"/>
            </w:tcBorders>
            <w:shd w:val="clear" w:color="auto" w:fill="auto"/>
          </w:tcPr>
          <w:p w14:paraId="53F62FE5">
            <w:pPr>
              <w:bidi/>
              <w:spacing w:after="0" w:line="240" w:lineRule="auto"/>
              <w:jc w:val="lowKashida"/>
              <w:rPr>
                <w:rFonts w:eastAsia="Times New Roman" w:asciiTheme="majorBidi" w:hAnsiTheme="majorBidi" w:cstheme="majorBidi"/>
                <w:color w:val="auto"/>
                <w:sz w:val="20"/>
                <w:szCs w:val="20"/>
                <w:rtl/>
              </w:rPr>
            </w:pPr>
            <w:r>
              <w:rPr>
                <w:rFonts w:eastAsia="Times New Roman" w:asciiTheme="majorBidi" w:hAnsiTheme="majorBidi" w:cstheme="majorBidi"/>
                <w:color w:val="auto"/>
                <w:sz w:val="20"/>
                <w:szCs w:val="20"/>
                <w:rtl/>
              </w:rPr>
              <w:t>159</w:t>
            </w:r>
          </w:p>
        </w:tc>
        <w:tc>
          <w:tcPr>
            <w:tcW w:w="2426" w:type="dxa"/>
            <w:tcBorders>
              <w:top w:val="nil"/>
              <w:bottom w:val="nil"/>
            </w:tcBorders>
            <w:shd w:val="clear" w:color="auto" w:fill="auto"/>
          </w:tcPr>
          <w:p w14:paraId="26985350">
            <w:pPr>
              <w:bidi/>
              <w:spacing w:after="0" w:line="240" w:lineRule="auto"/>
              <w:jc w:val="lowKashida"/>
              <w:rPr>
                <w:rFonts w:eastAsia="Times New Roman" w:asciiTheme="majorBidi" w:hAnsiTheme="majorBidi" w:cstheme="majorBidi"/>
                <w:color w:val="auto"/>
                <w:sz w:val="20"/>
                <w:szCs w:val="20"/>
                <w:rtl/>
              </w:rPr>
            </w:pPr>
            <w:r>
              <w:rPr>
                <w:rFonts w:eastAsia="Times New Roman" w:asciiTheme="majorBidi" w:hAnsiTheme="majorBidi" w:cstheme="majorBidi"/>
                <w:color w:val="auto"/>
                <w:sz w:val="20"/>
                <w:szCs w:val="20"/>
                <w:rtl/>
              </w:rPr>
              <w:t>41.4</w:t>
            </w:r>
          </w:p>
        </w:tc>
      </w:tr>
      <w:tr w14:paraId="4844C2E4">
        <w:tblPrEx>
          <w:tblBorders>
            <w:top w:val="single" w:color="A5A5A5" w:themeColor="accent3" w:sz="4" w:space="0"/>
            <w:left w:val="none" w:color="auto" w:sz="0" w:space="0"/>
            <w:bottom w:val="single" w:color="A5A5A5" w:themeColor="accent3"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3372" w:type="dxa"/>
            <w:vMerge w:val="continue"/>
            <w:tcBorders>
              <w:top w:val="nil"/>
              <w:bottom w:val="single" w:color="auto" w:sz="4" w:space="0"/>
            </w:tcBorders>
          </w:tcPr>
          <w:p w14:paraId="4F3EA21A">
            <w:pPr>
              <w:bidi/>
              <w:spacing w:after="0" w:line="240" w:lineRule="auto"/>
              <w:jc w:val="lowKashida"/>
              <w:rPr>
                <w:rFonts w:eastAsia="Times New Roman" w:asciiTheme="majorBidi" w:hAnsiTheme="majorBidi" w:cstheme="majorBidi"/>
                <w:b/>
                <w:bCs/>
                <w:color w:val="auto"/>
                <w:sz w:val="20"/>
                <w:szCs w:val="20"/>
                <w:rtl/>
              </w:rPr>
            </w:pPr>
          </w:p>
        </w:tc>
        <w:tc>
          <w:tcPr>
            <w:tcW w:w="2013" w:type="dxa"/>
            <w:tcBorders>
              <w:top w:val="nil"/>
              <w:bottom w:val="single" w:color="auto" w:sz="4" w:space="0"/>
            </w:tcBorders>
          </w:tcPr>
          <w:p w14:paraId="30DDAB58">
            <w:pPr>
              <w:bidi/>
              <w:spacing w:after="0" w:line="240" w:lineRule="auto"/>
              <w:jc w:val="lowKashida"/>
              <w:rPr>
                <w:rFonts w:asciiTheme="majorBidi" w:hAnsiTheme="majorBidi" w:cstheme="majorBidi"/>
                <w:color w:val="auto"/>
                <w:sz w:val="20"/>
                <w:szCs w:val="20"/>
                <w:rtl/>
              </w:rPr>
            </w:pPr>
            <w:r>
              <w:rPr>
                <w:rFonts w:asciiTheme="majorBidi" w:hAnsiTheme="majorBidi" w:cstheme="majorBidi"/>
                <w:color w:val="auto"/>
                <w:sz w:val="20"/>
                <w:szCs w:val="20"/>
                <w:rtl/>
              </w:rPr>
              <w:t>دراسات عليا</w:t>
            </w:r>
          </w:p>
        </w:tc>
        <w:tc>
          <w:tcPr>
            <w:tcW w:w="2106" w:type="dxa"/>
            <w:tcBorders>
              <w:top w:val="nil"/>
              <w:bottom w:val="single" w:color="auto" w:sz="4" w:space="0"/>
            </w:tcBorders>
          </w:tcPr>
          <w:p w14:paraId="43031806">
            <w:pPr>
              <w:bidi/>
              <w:spacing w:after="0" w:line="240" w:lineRule="auto"/>
              <w:jc w:val="lowKashida"/>
              <w:rPr>
                <w:rFonts w:eastAsia="Times New Roman" w:asciiTheme="majorBidi" w:hAnsiTheme="majorBidi" w:cstheme="majorBidi"/>
                <w:color w:val="auto"/>
                <w:sz w:val="20"/>
                <w:szCs w:val="20"/>
                <w:rtl/>
              </w:rPr>
            </w:pPr>
            <w:r>
              <w:rPr>
                <w:rFonts w:eastAsia="Times New Roman" w:asciiTheme="majorBidi" w:hAnsiTheme="majorBidi" w:cstheme="majorBidi"/>
                <w:color w:val="auto"/>
                <w:sz w:val="20"/>
                <w:szCs w:val="20"/>
                <w:rtl/>
              </w:rPr>
              <w:t>24</w:t>
            </w:r>
          </w:p>
        </w:tc>
        <w:tc>
          <w:tcPr>
            <w:tcW w:w="2426" w:type="dxa"/>
            <w:tcBorders>
              <w:top w:val="nil"/>
              <w:bottom w:val="single" w:color="auto" w:sz="4" w:space="0"/>
            </w:tcBorders>
          </w:tcPr>
          <w:p w14:paraId="68BD7BD7">
            <w:pPr>
              <w:bidi/>
              <w:spacing w:after="0" w:line="240" w:lineRule="auto"/>
              <w:jc w:val="lowKashida"/>
              <w:rPr>
                <w:rFonts w:eastAsia="Times New Roman" w:asciiTheme="majorBidi" w:hAnsiTheme="majorBidi" w:cstheme="majorBidi"/>
                <w:color w:val="auto"/>
                <w:sz w:val="20"/>
                <w:szCs w:val="20"/>
                <w:rtl/>
              </w:rPr>
            </w:pPr>
            <w:r>
              <w:rPr>
                <w:rFonts w:eastAsia="Times New Roman" w:asciiTheme="majorBidi" w:hAnsiTheme="majorBidi" w:cstheme="majorBidi"/>
                <w:color w:val="auto"/>
                <w:sz w:val="20"/>
                <w:szCs w:val="20"/>
                <w:rtl/>
              </w:rPr>
              <w:t>6.3</w:t>
            </w:r>
          </w:p>
        </w:tc>
      </w:tr>
      <w:tr w14:paraId="3393189D">
        <w:tblPrEx>
          <w:tblBorders>
            <w:top w:val="single" w:color="A5A5A5" w:themeColor="accent3" w:sz="4" w:space="0"/>
            <w:left w:val="none" w:color="auto" w:sz="0" w:space="0"/>
            <w:bottom w:val="single" w:color="A5A5A5" w:themeColor="accent3"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3372" w:type="dxa"/>
            <w:vMerge w:val="restart"/>
            <w:tcBorders>
              <w:top w:val="single" w:color="auto" w:sz="4" w:space="0"/>
              <w:bottom w:val="nil"/>
            </w:tcBorders>
            <w:shd w:val="clear" w:color="auto" w:fill="auto"/>
          </w:tcPr>
          <w:p w14:paraId="10F5923A">
            <w:pPr>
              <w:bidi/>
              <w:spacing w:after="0" w:line="240" w:lineRule="auto"/>
              <w:jc w:val="lowKashida"/>
              <w:rPr>
                <w:rFonts w:eastAsia="Times New Roman" w:asciiTheme="majorBidi" w:hAnsiTheme="majorBidi" w:cstheme="majorBidi"/>
                <w:b/>
                <w:bCs/>
                <w:color w:val="auto"/>
                <w:sz w:val="20"/>
                <w:szCs w:val="20"/>
                <w:rtl/>
              </w:rPr>
            </w:pPr>
            <w:r>
              <w:rPr>
                <w:rFonts w:asciiTheme="majorBidi" w:hAnsiTheme="majorBidi" w:cstheme="majorBidi"/>
                <w:b/>
                <w:bCs/>
                <w:color w:val="auto"/>
                <w:sz w:val="20"/>
                <w:szCs w:val="20"/>
                <w:rtl/>
              </w:rPr>
              <w:t>هل لديك اتصال مباشر مع شخص يعاني من مرض نفسي؟</w:t>
            </w:r>
          </w:p>
        </w:tc>
        <w:tc>
          <w:tcPr>
            <w:tcW w:w="2013" w:type="dxa"/>
            <w:tcBorders>
              <w:top w:val="single" w:color="auto" w:sz="4" w:space="0"/>
              <w:bottom w:val="nil"/>
            </w:tcBorders>
            <w:shd w:val="clear" w:color="auto" w:fill="auto"/>
          </w:tcPr>
          <w:p w14:paraId="37F7760A">
            <w:pPr>
              <w:bidi/>
              <w:spacing w:after="0" w:line="240" w:lineRule="auto"/>
              <w:jc w:val="lowKashida"/>
              <w:rPr>
                <w:rFonts w:eastAsia="Times New Roman" w:asciiTheme="majorBidi" w:hAnsiTheme="majorBidi" w:cstheme="majorBidi"/>
                <w:color w:val="auto"/>
                <w:sz w:val="20"/>
                <w:szCs w:val="20"/>
                <w:rtl/>
              </w:rPr>
            </w:pPr>
            <w:r>
              <w:rPr>
                <w:rFonts w:eastAsia="Times New Roman" w:asciiTheme="majorBidi" w:hAnsiTheme="majorBidi" w:cstheme="majorBidi"/>
                <w:color w:val="auto"/>
                <w:sz w:val="20"/>
                <w:szCs w:val="20"/>
                <w:rtl/>
              </w:rPr>
              <w:t>نعم</w:t>
            </w:r>
          </w:p>
        </w:tc>
        <w:tc>
          <w:tcPr>
            <w:tcW w:w="2106" w:type="dxa"/>
            <w:tcBorders>
              <w:top w:val="single" w:color="auto" w:sz="4" w:space="0"/>
              <w:bottom w:val="nil"/>
            </w:tcBorders>
            <w:shd w:val="clear" w:color="auto" w:fill="auto"/>
          </w:tcPr>
          <w:p w14:paraId="2B78359A">
            <w:pPr>
              <w:bidi/>
              <w:spacing w:after="0" w:line="240" w:lineRule="auto"/>
              <w:jc w:val="lowKashida"/>
              <w:rPr>
                <w:rFonts w:eastAsia="Times New Roman" w:asciiTheme="majorBidi" w:hAnsiTheme="majorBidi" w:cstheme="majorBidi"/>
                <w:color w:val="auto"/>
                <w:sz w:val="20"/>
                <w:szCs w:val="20"/>
                <w:rtl/>
              </w:rPr>
            </w:pPr>
            <w:r>
              <w:rPr>
                <w:rFonts w:eastAsia="Times New Roman" w:asciiTheme="majorBidi" w:hAnsiTheme="majorBidi" w:cstheme="majorBidi"/>
                <w:color w:val="auto"/>
                <w:sz w:val="20"/>
                <w:szCs w:val="20"/>
                <w:rtl/>
              </w:rPr>
              <w:t>123</w:t>
            </w:r>
          </w:p>
        </w:tc>
        <w:tc>
          <w:tcPr>
            <w:tcW w:w="2426" w:type="dxa"/>
            <w:tcBorders>
              <w:top w:val="single" w:color="auto" w:sz="4" w:space="0"/>
              <w:bottom w:val="nil"/>
            </w:tcBorders>
            <w:shd w:val="clear" w:color="auto" w:fill="auto"/>
          </w:tcPr>
          <w:p w14:paraId="3DAD11DD">
            <w:pPr>
              <w:bidi/>
              <w:spacing w:after="0" w:line="240" w:lineRule="auto"/>
              <w:jc w:val="lowKashida"/>
              <w:rPr>
                <w:rFonts w:eastAsia="Times New Roman" w:asciiTheme="majorBidi" w:hAnsiTheme="majorBidi" w:cstheme="majorBidi"/>
                <w:color w:val="auto"/>
                <w:sz w:val="20"/>
                <w:szCs w:val="20"/>
                <w:rtl/>
              </w:rPr>
            </w:pPr>
            <w:r>
              <w:rPr>
                <w:rFonts w:eastAsia="Times New Roman" w:asciiTheme="majorBidi" w:hAnsiTheme="majorBidi" w:cstheme="majorBidi"/>
                <w:color w:val="auto"/>
                <w:sz w:val="20"/>
                <w:szCs w:val="20"/>
                <w:rtl/>
              </w:rPr>
              <w:t>32.0</w:t>
            </w:r>
          </w:p>
        </w:tc>
      </w:tr>
      <w:tr w14:paraId="4CE32E41">
        <w:tblPrEx>
          <w:tblBorders>
            <w:top w:val="single" w:color="A5A5A5" w:themeColor="accent3" w:sz="4" w:space="0"/>
            <w:left w:val="none" w:color="auto" w:sz="0" w:space="0"/>
            <w:bottom w:val="single" w:color="A5A5A5" w:themeColor="accent3"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3372" w:type="dxa"/>
            <w:vMerge w:val="continue"/>
            <w:tcBorders>
              <w:top w:val="nil"/>
              <w:bottom w:val="single" w:color="auto" w:sz="4" w:space="0"/>
            </w:tcBorders>
          </w:tcPr>
          <w:p w14:paraId="2D2403E5">
            <w:pPr>
              <w:bidi/>
              <w:spacing w:after="0" w:line="240" w:lineRule="auto"/>
              <w:jc w:val="lowKashida"/>
              <w:rPr>
                <w:rFonts w:eastAsia="Times New Roman" w:asciiTheme="majorBidi" w:hAnsiTheme="majorBidi" w:cstheme="majorBidi"/>
                <w:b/>
                <w:bCs/>
                <w:color w:val="auto"/>
                <w:sz w:val="20"/>
                <w:szCs w:val="20"/>
                <w:rtl/>
              </w:rPr>
            </w:pPr>
          </w:p>
        </w:tc>
        <w:tc>
          <w:tcPr>
            <w:tcW w:w="2013" w:type="dxa"/>
            <w:tcBorders>
              <w:top w:val="nil"/>
              <w:bottom w:val="single" w:color="auto" w:sz="4" w:space="0"/>
            </w:tcBorders>
          </w:tcPr>
          <w:p w14:paraId="59B63F42">
            <w:pPr>
              <w:bidi/>
              <w:spacing w:after="0" w:line="240" w:lineRule="auto"/>
              <w:jc w:val="lowKashida"/>
              <w:rPr>
                <w:rFonts w:eastAsia="Times New Roman" w:asciiTheme="majorBidi" w:hAnsiTheme="majorBidi" w:cstheme="majorBidi"/>
                <w:color w:val="auto"/>
                <w:sz w:val="20"/>
                <w:szCs w:val="20"/>
                <w:rtl/>
              </w:rPr>
            </w:pPr>
            <w:r>
              <w:rPr>
                <w:rFonts w:eastAsia="Times New Roman" w:asciiTheme="majorBidi" w:hAnsiTheme="majorBidi" w:cstheme="majorBidi"/>
                <w:color w:val="auto"/>
                <w:sz w:val="20"/>
                <w:szCs w:val="20"/>
                <w:rtl/>
              </w:rPr>
              <w:t>لا</w:t>
            </w:r>
          </w:p>
        </w:tc>
        <w:tc>
          <w:tcPr>
            <w:tcW w:w="2106" w:type="dxa"/>
            <w:tcBorders>
              <w:top w:val="nil"/>
              <w:bottom w:val="single" w:color="auto" w:sz="4" w:space="0"/>
            </w:tcBorders>
          </w:tcPr>
          <w:p w14:paraId="3FA5A35D">
            <w:pPr>
              <w:bidi/>
              <w:spacing w:after="0" w:line="240" w:lineRule="auto"/>
              <w:jc w:val="lowKashida"/>
              <w:rPr>
                <w:rFonts w:eastAsia="Times New Roman" w:asciiTheme="majorBidi" w:hAnsiTheme="majorBidi" w:cstheme="majorBidi"/>
                <w:color w:val="auto"/>
                <w:sz w:val="20"/>
                <w:szCs w:val="20"/>
                <w:rtl/>
              </w:rPr>
            </w:pPr>
            <w:r>
              <w:rPr>
                <w:rFonts w:eastAsia="Times New Roman" w:asciiTheme="majorBidi" w:hAnsiTheme="majorBidi" w:cstheme="majorBidi"/>
                <w:color w:val="auto"/>
                <w:sz w:val="20"/>
                <w:szCs w:val="20"/>
                <w:rtl/>
              </w:rPr>
              <w:t>261</w:t>
            </w:r>
          </w:p>
        </w:tc>
        <w:tc>
          <w:tcPr>
            <w:tcW w:w="2426" w:type="dxa"/>
            <w:tcBorders>
              <w:top w:val="nil"/>
              <w:bottom w:val="single" w:color="auto" w:sz="4" w:space="0"/>
            </w:tcBorders>
          </w:tcPr>
          <w:p w14:paraId="5078FF33">
            <w:pPr>
              <w:bidi/>
              <w:spacing w:after="0" w:line="240" w:lineRule="auto"/>
              <w:jc w:val="lowKashida"/>
              <w:rPr>
                <w:rFonts w:eastAsia="Times New Roman" w:asciiTheme="majorBidi" w:hAnsiTheme="majorBidi" w:cstheme="majorBidi"/>
                <w:color w:val="auto"/>
                <w:sz w:val="20"/>
                <w:szCs w:val="20"/>
                <w:rtl/>
              </w:rPr>
            </w:pPr>
            <w:r>
              <w:rPr>
                <w:rFonts w:eastAsia="Times New Roman" w:asciiTheme="majorBidi" w:hAnsiTheme="majorBidi" w:cstheme="majorBidi"/>
                <w:color w:val="auto"/>
                <w:sz w:val="20"/>
                <w:szCs w:val="20"/>
                <w:rtl/>
              </w:rPr>
              <w:t>68.0</w:t>
            </w:r>
          </w:p>
        </w:tc>
      </w:tr>
      <w:tr w14:paraId="08BBD4F1">
        <w:tblPrEx>
          <w:tblBorders>
            <w:top w:val="single" w:color="A5A5A5" w:themeColor="accent3" w:sz="4" w:space="0"/>
            <w:left w:val="none" w:color="auto" w:sz="0" w:space="0"/>
            <w:bottom w:val="single" w:color="A5A5A5" w:themeColor="accent3"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0" w:hRule="atLeast"/>
        </w:trPr>
        <w:tc>
          <w:tcPr>
            <w:tcW w:w="3372" w:type="dxa"/>
            <w:vMerge w:val="restart"/>
            <w:tcBorders>
              <w:top w:val="single" w:color="auto" w:sz="4" w:space="0"/>
              <w:bottom w:val="nil"/>
            </w:tcBorders>
            <w:shd w:val="clear" w:color="auto" w:fill="auto"/>
          </w:tcPr>
          <w:p w14:paraId="42724E94">
            <w:pPr>
              <w:bidi/>
              <w:spacing w:after="0" w:line="240" w:lineRule="auto"/>
              <w:jc w:val="lowKashida"/>
              <w:rPr>
                <w:rFonts w:eastAsia="Times New Roman" w:asciiTheme="majorBidi" w:hAnsiTheme="majorBidi" w:cstheme="majorBidi"/>
                <w:b/>
                <w:bCs/>
                <w:color w:val="auto"/>
                <w:sz w:val="20"/>
                <w:szCs w:val="20"/>
                <w:rtl/>
              </w:rPr>
            </w:pPr>
            <w:r>
              <w:rPr>
                <w:rFonts w:asciiTheme="majorBidi" w:hAnsiTheme="majorBidi" w:cstheme="majorBidi"/>
                <w:b/>
                <w:bCs/>
                <w:color w:val="auto"/>
                <w:sz w:val="20"/>
                <w:szCs w:val="20"/>
                <w:rtl/>
              </w:rPr>
              <w:t>هل تلقيت تدريبًا في مجال الصحة النفسية؟</w:t>
            </w:r>
          </w:p>
        </w:tc>
        <w:tc>
          <w:tcPr>
            <w:tcW w:w="2013" w:type="dxa"/>
            <w:tcBorders>
              <w:top w:val="single" w:color="auto" w:sz="4" w:space="0"/>
              <w:bottom w:val="nil"/>
            </w:tcBorders>
            <w:shd w:val="clear" w:color="auto" w:fill="auto"/>
          </w:tcPr>
          <w:p w14:paraId="363D4AE0">
            <w:pPr>
              <w:bidi/>
              <w:spacing w:after="0" w:line="240" w:lineRule="auto"/>
              <w:jc w:val="lowKashida"/>
              <w:rPr>
                <w:rFonts w:eastAsia="Times New Roman" w:asciiTheme="majorBidi" w:hAnsiTheme="majorBidi" w:cstheme="majorBidi"/>
                <w:color w:val="auto"/>
                <w:sz w:val="20"/>
                <w:szCs w:val="20"/>
                <w:rtl/>
              </w:rPr>
            </w:pPr>
            <w:r>
              <w:rPr>
                <w:rFonts w:eastAsia="Times New Roman" w:asciiTheme="majorBidi" w:hAnsiTheme="majorBidi" w:cstheme="majorBidi"/>
                <w:color w:val="auto"/>
                <w:sz w:val="20"/>
                <w:szCs w:val="20"/>
                <w:rtl/>
              </w:rPr>
              <w:t>نعم</w:t>
            </w:r>
          </w:p>
        </w:tc>
        <w:tc>
          <w:tcPr>
            <w:tcW w:w="2106" w:type="dxa"/>
            <w:tcBorders>
              <w:top w:val="single" w:color="auto" w:sz="4" w:space="0"/>
              <w:bottom w:val="nil"/>
            </w:tcBorders>
            <w:shd w:val="clear" w:color="auto" w:fill="auto"/>
          </w:tcPr>
          <w:p w14:paraId="686E354F">
            <w:pPr>
              <w:bidi/>
              <w:spacing w:after="0" w:line="240" w:lineRule="auto"/>
              <w:jc w:val="lowKashida"/>
              <w:rPr>
                <w:rFonts w:eastAsia="Times New Roman" w:asciiTheme="majorBidi" w:hAnsiTheme="majorBidi" w:cstheme="majorBidi"/>
                <w:color w:val="auto"/>
                <w:sz w:val="20"/>
                <w:szCs w:val="20"/>
                <w:rtl/>
              </w:rPr>
            </w:pPr>
            <w:r>
              <w:rPr>
                <w:rFonts w:eastAsia="Times New Roman" w:asciiTheme="majorBidi" w:hAnsiTheme="majorBidi" w:cstheme="majorBidi"/>
                <w:color w:val="auto"/>
                <w:sz w:val="20"/>
                <w:szCs w:val="20"/>
                <w:rtl/>
              </w:rPr>
              <w:t>67</w:t>
            </w:r>
          </w:p>
        </w:tc>
        <w:tc>
          <w:tcPr>
            <w:tcW w:w="2426" w:type="dxa"/>
            <w:tcBorders>
              <w:top w:val="single" w:color="auto" w:sz="4" w:space="0"/>
              <w:bottom w:val="nil"/>
            </w:tcBorders>
            <w:shd w:val="clear" w:color="auto" w:fill="auto"/>
          </w:tcPr>
          <w:p w14:paraId="670011E8">
            <w:pPr>
              <w:bidi/>
              <w:spacing w:after="0" w:line="240" w:lineRule="auto"/>
              <w:jc w:val="lowKashida"/>
              <w:rPr>
                <w:rFonts w:eastAsia="Times New Roman" w:asciiTheme="majorBidi" w:hAnsiTheme="majorBidi" w:cstheme="majorBidi"/>
                <w:color w:val="auto"/>
                <w:sz w:val="20"/>
                <w:szCs w:val="20"/>
                <w:rtl/>
              </w:rPr>
            </w:pPr>
            <w:r>
              <w:rPr>
                <w:rFonts w:eastAsia="Times New Roman" w:asciiTheme="majorBidi" w:hAnsiTheme="majorBidi" w:cstheme="majorBidi"/>
                <w:color w:val="auto"/>
                <w:sz w:val="20"/>
                <w:szCs w:val="20"/>
                <w:rtl/>
              </w:rPr>
              <w:t>17.4</w:t>
            </w:r>
          </w:p>
        </w:tc>
      </w:tr>
      <w:tr w14:paraId="56CAE151">
        <w:tblPrEx>
          <w:tblBorders>
            <w:top w:val="single" w:color="A5A5A5" w:themeColor="accent3" w:sz="4" w:space="0"/>
            <w:left w:val="none" w:color="auto" w:sz="0" w:space="0"/>
            <w:bottom w:val="single" w:color="A5A5A5" w:themeColor="accent3"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3372" w:type="dxa"/>
            <w:vMerge w:val="continue"/>
            <w:tcBorders>
              <w:top w:val="nil"/>
              <w:bottom w:val="single" w:color="auto" w:sz="4" w:space="0"/>
            </w:tcBorders>
          </w:tcPr>
          <w:p w14:paraId="28E4C4FE">
            <w:pPr>
              <w:bidi/>
              <w:spacing w:after="0" w:line="240" w:lineRule="auto"/>
              <w:jc w:val="lowKashida"/>
              <w:rPr>
                <w:rFonts w:asciiTheme="majorBidi" w:hAnsiTheme="majorBidi" w:cstheme="majorBidi"/>
                <w:b w:val="0"/>
                <w:bCs w:val="0"/>
                <w:color w:val="auto"/>
                <w:sz w:val="20"/>
                <w:szCs w:val="20"/>
                <w:rtl/>
              </w:rPr>
            </w:pPr>
          </w:p>
        </w:tc>
        <w:tc>
          <w:tcPr>
            <w:tcW w:w="2013" w:type="dxa"/>
            <w:tcBorders>
              <w:top w:val="nil"/>
              <w:bottom w:val="single" w:color="auto" w:sz="4" w:space="0"/>
            </w:tcBorders>
          </w:tcPr>
          <w:p w14:paraId="6B661AE3">
            <w:pPr>
              <w:bidi/>
              <w:spacing w:after="0" w:line="240" w:lineRule="auto"/>
              <w:jc w:val="lowKashida"/>
              <w:rPr>
                <w:rFonts w:eastAsia="Times New Roman" w:asciiTheme="majorBidi" w:hAnsiTheme="majorBidi" w:cstheme="majorBidi"/>
                <w:color w:val="auto"/>
                <w:sz w:val="20"/>
                <w:szCs w:val="20"/>
                <w:rtl/>
              </w:rPr>
            </w:pPr>
            <w:r>
              <w:rPr>
                <w:rFonts w:eastAsia="Times New Roman" w:asciiTheme="majorBidi" w:hAnsiTheme="majorBidi" w:cstheme="majorBidi"/>
                <w:color w:val="auto"/>
                <w:sz w:val="20"/>
                <w:szCs w:val="20"/>
                <w:rtl/>
              </w:rPr>
              <w:t>لا</w:t>
            </w:r>
          </w:p>
        </w:tc>
        <w:tc>
          <w:tcPr>
            <w:tcW w:w="2106" w:type="dxa"/>
            <w:tcBorders>
              <w:top w:val="nil"/>
              <w:bottom w:val="single" w:color="auto" w:sz="4" w:space="0"/>
            </w:tcBorders>
          </w:tcPr>
          <w:p w14:paraId="472275C5">
            <w:pPr>
              <w:bidi/>
              <w:spacing w:after="0" w:line="240" w:lineRule="auto"/>
              <w:jc w:val="lowKashida"/>
              <w:rPr>
                <w:rFonts w:eastAsia="Times New Roman" w:asciiTheme="majorBidi" w:hAnsiTheme="majorBidi" w:cstheme="majorBidi"/>
                <w:color w:val="auto"/>
                <w:sz w:val="20"/>
                <w:szCs w:val="20"/>
                <w:rtl/>
              </w:rPr>
            </w:pPr>
            <w:r>
              <w:rPr>
                <w:rFonts w:eastAsia="Times New Roman" w:asciiTheme="majorBidi" w:hAnsiTheme="majorBidi" w:cstheme="majorBidi"/>
                <w:color w:val="auto"/>
                <w:sz w:val="20"/>
                <w:szCs w:val="20"/>
                <w:rtl/>
              </w:rPr>
              <w:t>317</w:t>
            </w:r>
          </w:p>
        </w:tc>
        <w:tc>
          <w:tcPr>
            <w:tcW w:w="2426" w:type="dxa"/>
            <w:tcBorders>
              <w:top w:val="nil"/>
              <w:bottom w:val="single" w:color="auto" w:sz="4" w:space="0"/>
            </w:tcBorders>
          </w:tcPr>
          <w:p w14:paraId="100CD16C">
            <w:pPr>
              <w:bidi/>
              <w:spacing w:after="0" w:line="240" w:lineRule="auto"/>
              <w:jc w:val="lowKashida"/>
              <w:rPr>
                <w:rFonts w:eastAsia="Times New Roman" w:asciiTheme="majorBidi" w:hAnsiTheme="majorBidi" w:cstheme="majorBidi"/>
                <w:color w:val="auto"/>
                <w:sz w:val="20"/>
                <w:szCs w:val="20"/>
                <w:rtl/>
              </w:rPr>
            </w:pPr>
            <w:r>
              <w:rPr>
                <w:rFonts w:eastAsia="Times New Roman" w:asciiTheme="majorBidi" w:hAnsiTheme="majorBidi" w:cstheme="majorBidi"/>
                <w:color w:val="auto"/>
                <w:sz w:val="20"/>
                <w:szCs w:val="20"/>
                <w:rtl/>
              </w:rPr>
              <w:t>82.6</w:t>
            </w:r>
          </w:p>
        </w:tc>
      </w:tr>
      <w:tr w14:paraId="0CDFD013">
        <w:tblPrEx>
          <w:tblBorders>
            <w:top w:val="single" w:color="A5A5A5" w:themeColor="accent3" w:sz="4" w:space="0"/>
            <w:left w:val="none" w:color="auto" w:sz="0" w:space="0"/>
            <w:bottom w:val="single" w:color="A5A5A5" w:themeColor="accent3"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 w:hRule="atLeast"/>
        </w:trPr>
        <w:tc>
          <w:tcPr>
            <w:tcW w:w="5385" w:type="dxa"/>
            <w:gridSpan w:val="2"/>
            <w:tcBorders>
              <w:top w:val="single" w:color="auto" w:sz="4" w:space="0"/>
              <w:bottom w:val="single" w:color="auto" w:sz="4" w:space="0"/>
            </w:tcBorders>
            <w:shd w:val="clear" w:color="auto" w:fill="auto"/>
          </w:tcPr>
          <w:p w14:paraId="4032CC66">
            <w:pPr>
              <w:bidi/>
              <w:spacing w:after="0" w:line="240" w:lineRule="auto"/>
              <w:jc w:val="lowKashida"/>
              <w:rPr>
                <w:rFonts w:eastAsia="Times New Roman" w:asciiTheme="majorBidi" w:hAnsiTheme="majorBidi" w:cstheme="majorBidi"/>
                <w:b/>
                <w:bCs/>
                <w:color w:val="auto"/>
                <w:sz w:val="20"/>
                <w:szCs w:val="20"/>
                <w:rtl/>
              </w:rPr>
            </w:pPr>
            <w:r>
              <w:rPr>
                <w:rFonts w:eastAsia="Times New Roman" w:asciiTheme="majorBidi" w:hAnsiTheme="majorBidi" w:cstheme="majorBidi"/>
                <w:b/>
                <w:bCs/>
                <w:color w:val="auto"/>
                <w:sz w:val="20"/>
                <w:szCs w:val="20"/>
                <w:rtl/>
              </w:rPr>
              <w:t xml:space="preserve">المجموع الكلي </w:t>
            </w:r>
          </w:p>
        </w:tc>
        <w:tc>
          <w:tcPr>
            <w:tcW w:w="2106" w:type="dxa"/>
            <w:tcBorders>
              <w:top w:val="single" w:color="auto" w:sz="4" w:space="0"/>
              <w:bottom w:val="single" w:color="auto" w:sz="4" w:space="0"/>
            </w:tcBorders>
            <w:shd w:val="clear" w:color="auto" w:fill="auto"/>
          </w:tcPr>
          <w:p w14:paraId="77D83513">
            <w:pPr>
              <w:bidi/>
              <w:spacing w:after="0" w:line="240" w:lineRule="auto"/>
              <w:jc w:val="lowKashida"/>
              <w:rPr>
                <w:rFonts w:eastAsia="Times New Roman" w:asciiTheme="majorBidi" w:hAnsiTheme="majorBidi" w:cstheme="majorBidi"/>
                <w:b/>
                <w:bCs/>
                <w:color w:val="auto"/>
                <w:sz w:val="20"/>
                <w:szCs w:val="20"/>
                <w:rtl/>
              </w:rPr>
            </w:pPr>
            <w:r>
              <w:rPr>
                <w:rFonts w:eastAsia="Times New Roman" w:asciiTheme="majorBidi" w:hAnsiTheme="majorBidi" w:cstheme="majorBidi"/>
                <w:b/>
                <w:bCs/>
                <w:color w:val="auto"/>
                <w:sz w:val="20"/>
                <w:szCs w:val="20"/>
                <w:rtl/>
              </w:rPr>
              <w:t>384</w:t>
            </w:r>
          </w:p>
        </w:tc>
        <w:tc>
          <w:tcPr>
            <w:tcW w:w="2426" w:type="dxa"/>
            <w:tcBorders>
              <w:top w:val="single" w:color="auto" w:sz="4" w:space="0"/>
              <w:bottom w:val="single" w:color="auto" w:sz="4" w:space="0"/>
            </w:tcBorders>
            <w:shd w:val="clear" w:color="auto" w:fill="auto"/>
          </w:tcPr>
          <w:p w14:paraId="3C7919CE">
            <w:pPr>
              <w:bidi/>
              <w:spacing w:after="0" w:line="240" w:lineRule="auto"/>
              <w:jc w:val="lowKashida"/>
              <w:rPr>
                <w:rFonts w:eastAsia="Times New Roman" w:asciiTheme="majorBidi" w:hAnsiTheme="majorBidi" w:cstheme="majorBidi"/>
                <w:b/>
                <w:bCs/>
                <w:color w:val="auto"/>
                <w:sz w:val="20"/>
                <w:szCs w:val="20"/>
                <w:rtl/>
              </w:rPr>
            </w:pPr>
            <w:r>
              <w:rPr>
                <w:rFonts w:eastAsia="Times New Roman" w:asciiTheme="majorBidi" w:hAnsiTheme="majorBidi" w:cstheme="majorBidi"/>
                <w:b/>
                <w:bCs/>
                <w:color w:val="auto"/>
                <w:sz w:val="20"/>
                <w:szCs w:val="20"/>
                <w:rtl/>
              </w:rPr>
              <w:t>100%</w:t>
            </w:r>
          </w:p>
        </w:tc>
      </w:tr>
    </w:tbl>
    <w:p w14:paraId="55E63610">
      <w:pPr>
        <w:pStyle w:val="2"/>
        <w:bidi/>
        <w:spacing w:before="0" w:after="160" w:line="360" w:lineRule="auto"/>
        <w:jc w:val="lowKashida"/>
        <w:rPr>
          <w:rStyle w:val="11"/>
          <w:rFonts w:asciiTheme="majorBidi" w:hAnsiTheme="majorBidi"/>
          <w:color w:val="auto"/>
          <w:sz w:val="24"/>
          <w:szCs w:val="24"/>
          <w:rtl/>
        </w:rPr>
      </w:pPr>
    </w:p>
    <w:p w14:paraId="6AAE9362">
      <w:pPr>
        <w:pStyle w:val="2"/>
        <w:bidi/>
        <w:spacing w:before="0" w:after="160" w:line="360" w:lineRule="auto"/>
        <w:jc w:val="lowKashida"/>
        <w:rPr>
          <w:rFonts w:asciiTheme="majorBidi" w:hAnsiTheme="majorBidi"/>
          <w:color w:val="auto"/>
          <w:sz w:val="24"/>
          <w:szCs w:val="24"/>
        </w:rPr>
      </w:pPr>
      <w:r>
        <w:rPr>
          <w:rStyle w:val="11"/>
          <w:rFonts w:asciiTheme="majorBidi" w:hAnsiTheme="majorBidi"/>
          <w:color w:val="auto"/>
          <w:sz w:val="24"/>
          <w:szCs w:val="24"/>
          <w:rtl/>
        </w:rPr>
        <w:t>أداة الدراسة</w:t>
      </w:r>
    </w:p>
    <w:p w14:paraId="5433D59F">
      <w:pPr>
        <w:pStyle w:val="10"/>
        <w:bidi/>
        <w:spacing w:line="360" w:lineRule="auto"/>
        <w:ind w:firstLine="720"/>
        <w:jc w:val="lowKashida"/>
        <w:rPr>
          <w:rFonts w:asciiTheme="majorBidi" w:hAnsiTheme="majorBidi" w:cstheme="majorBidi"/>
        </w:rPr>
      </w:pPr>
      <w:r>
        <w:rPr>
          <w:rFonts w:asciiTheme="majorBidi" w:hAnsiTheme="majorBidi" w:cstheme="majorBidi"/>
          <w:rtl/>
        </w:rPr>
        <w:t xml:space="preserve">لغايات تحقيق أهداف الدراسة الحالية قامت الباحثة بتطوير مقياس </w:t>
      </w:r>
      <w:r>
        <w:rPr>
          <w:rStyle w:val="11"/>
          <w:rFonts w:asciiTheme="majorBidi" w:hAnsiTheme="majorBidi" w:cstheme="majorBidi"/>
          <w:b w:val="0"/>
          <w:bCs w:val="0"/>
          <w:rtl/>
        </w:rPr>
        <w:t>محو الأمية في مجال الصحة النفسية والوصمة</w:t>
      </w:r>
      <w:r>
        <w:rPr>
          <w:rStyle w:val="11"/>
          <w:rFonts w:asciiTheme="majorBidi" w:hAnsiTheme="majorBidi" w:cstheme="majorBidi"/>
          <w:b w:val="0"/>
          <w:bCs w:val="0"/>
        </w:rPr>
        <w:t xml:space="preserve"> The Mental Health Literacy and Stigma </w:t>
      </w:r>
      <w:r>
        <w:rPr>
          <w:rFonts w:asciiTheme="majorBidi" w:hAnsiTheme="majorBidi" w:cstheme="majorBidi"/>
          <w:rtl/>
        </w:rPr>
        <w:t>، بالاستناد الى دراسة</w:t>
      </w:r>
      <w:r>
        <w:rPr>
          <w:rFonts w:asciiTheme="majorBidi" w:hAnsiTheme="majorBidi" w:cstheme="majorBidi"/>
        </w:rPr>
        <w:t xml:space="preserve"> </w:t>
      </w:r>
      <w:r>
        <w:rPr>
          <w:rStyle w:val="6"/>
          <w:rFonts w:asciiTheme="majorBidi" w:hAnsiTheme="majorBidi" w:cstheme="majorBidi"/>
          <w:i w:val="0"/>
          <w:iCs w:val="0"/>
        </w:rPr>
        <w:t>(Nogueira et al., 2025)</w:t>
      </w:r>
      <w:r>
        <w:rPr>
          <w:rFonts w:asciiTheme="majorBidi" w:hAnsiTheme="majorBidi" w:cstheme="majorBidi"/>
          <w:i/>
          <w:iCs/>
        </w:rPr>
        <w:t xml:space="preserve"> </w:t>
      </w:r>
      <w:r>
        <w:rPr>
          <w:rFonts w:asciiTheme="majorBidi" w:hAnsiTheme="majorBidi" w:cstheme="majorBidi"/>
          <w:rtl/>
        </w:rPr>
        <w:t>وتمت ترجمته إلى اللغة العربية وتكييفه ليتناسب مع الثقافة الأردنية في هذه الدراسة</w:t>
      </w:r>
      <w:r>
        <w:rPr>
          <w:rFonts w:asciiTheme="majorBidi" w:hAnsiTheme="majorBidi" w:cstheme="majorBidi"/>
        </w:rPr>
        <w:t>.</w:t>
      </w:r>
    </w:p>
    <w:p w14:paraId="639717BD">
      <w:pPr>
        <w:pStyle w:val="10"/>
        <w:bidi/>
        <w:spacing w:after="0" w:line="360" w:lineRule="auto"/>
        <w:jc w:val="center"/>
        <w:rPr>
          <w:rFonts w:asciiTheme="majorBidi" w:hAnsiTheme="majorBidi" w:cstheme="majorBidi"/>
        </w:rPr>
      </w:pPr>
      <w:r>
        <w:rPr>
          <w:rStyle w:val="11"/>
          <w:rFonts w:asciiTheme="majorBidi" w:hAnsiTheme="majorBidi" w:cstheme="majorBidi"/>
          <w:rtl/>
        </w:rPr>
        <w:t>جدول (2) مكونات المقياس وفقرات كل مجال</w:t>
      </w:r>
    </w:p>
    <w:tbl>
      <w:tblPr>
        <w:tblStyle w:val="18"/>
        <w:bidiVisual/>
        <w:tblW w:w="0" w:type="auto"/>
        <w:jc w:val="center"/>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358"/>
        <w:gridCol w:w="991"/>
        <w:gridCol w:w="3554"/>
      </w:tblGrid>
      <w:tr w14:paraId="6E6DD371">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tcBorders>
              <w:bottom w:val="single" w:color="7E7E7E" w:themeColor="text1" w:themeTint="80" w:sz="4" w:space="0"/>
              <w:insideH w:val="single" w:sz="4" w:space="0"/>
            </w:tcBorders>
          </w:tcPr>
          <w:p w14:paraId="3676ABD7">
            <w:pPr>
              <w:bidi/>
              <w:spacing w:after="0" w:line="360" w:lineRule="auto"/>
              <w:jc w:val="center"/>
              <w:rPr>
                <w:rFonts w:eastAsia="Times New Roman" w:asciiTheme="majorBidi" w:hAnsiTheme="majorBidi" w:cstheme="majorBidi"/>
                <w:b w:val="0"/>
                <w:bCs w:val="0"/>
                <w:kern w:val="0"/>
                <w:sz w:val="20"/>
                <w:szCs w:val="20"/>
                <w14:ligatures w14:val="none"/>
              </w:rPr>
            </w:pPr>
            <w:r>
              <w:rPr>
                <w:rFonts w:eastAsia="Times New Roman" w:asciiTheme="majorBidi" w:hAnsiTheme="majorBidi" w:cstheme="majorBidi"/>
                <w:b/>
                <w:bCs/>
                <w:kern w:val="0"/>
                <w:sz w:val="20"/>
                <w:szCs w:val="20"/>
                <w:rtl/>
                <w14:ligatures w14:val="none"/>
              </w:rPr>
              <w:t>المجال</w:t>
            </w:r>
          </w:p>
        </w:tc>
        <w:tc>
          <w:tcPr>
            <w:tcW w:w="0" w:type="auto"/>
            <w:tcBorders>
              <w:bottom w:val="single" w:color="7E7E7E" w:themeColor="text1" w:themeTint="80" w:sz="4" w:space="0"/>
              <w:insideH w:val="single" w:sz="4" w:space="0"/>
            </w:tcBorders>
          </w:tcPr>
          <w:p w14:paraId="01AB2C74">
            <w:pPr>
              <w:bidi/>
              <w:spacing w:after="0" w:line="360" w:lineRule="auto"/>
              <w:jc w:val="center"/>
              <w:rPr>
                <w:rFonts w:eastAsia="Times New Roman" w:asciiTheme="majorBidi" w:hAnsiTheme="majorBidi" w:cstheme="majorBidi"/>
                <w:b w:val="0"/>
                <w:bCs w:val="0"/>
                <w:kern w:val="0"/>
                <w:sz w:val="20"/>
                <w:szCs w:val="20"/>
                <w14:ligatures w14:val="none"/>
              </w:rPr>
            </w:pPr>
            <w:r>
              <w:rPr>
                <w:rFonts w:eastAsia="Times New Roman" w:asciiTheme="majorBidi" w:hAnsiTheme="majorBidi" w:cstheme="majorBidi"/>
                <w:b/>
                <w:bCs/>
                <w:kern w:val="0"/>
                <w:sz w:val="20"/>
                <w:szCs w:val="20"/>
                <w:rtl/>
                <w14:ligatures w14:val="none"/>
              </w:rPr>
              <w:t>عدد الفقرات</w:t>
            </w:r>
          </w:p>
        </w:tc>
        <w:tc>
          <w:tcPr>
            <w:tcW w:w="0" w:type="auto"/>
            <w:tcBorders>
              <w:bottom w:val="single" w:color="7E7E7E" w:themeColor="text1" w:themeTint="80" w:sz="4" w:space="0"/>
              <w:insideH w:val="single" w:sz="4" w:space="0"/>
            </w:tcBorders>
          </w:tcPr>
          <w:p w14:paraId="1ED50D59">
            <w:pPr>
              <w:bidi/>
              <w:spacing w:after="0" w:line="360" w:lineRule="auto"/>
              <w:jc w:val="center"/>
              <w:rPr>
                <w:rFonts w:eastAsia="Times New Roman" w:asciiTheme="majorBidi" w:hAnsiTheme="majorBidi" w:cstheme="majorBidi"/>
                <w:b w:val="0"/>
                <w:bCs w:val="0"/>
                <w:kern w:val="0"/>
                <w:sz w:val="20"/>
                <w:szCs w:val="20"/>
                <w14:ligatures w14:val="none"/>
              </w:rPr>
            </w:pPr>
            <w:r>
              <w:rPr>
                <w:rFonts w:eastAsia="Times New Roman" w:asciiTheme="majorBidi" w:hAnsiTheme="majorBidi" w:cstheme="majorBidi"/>
                <w:b/>
                <w:bCs/>
                <w:kern w:val="0"/>
                <w:sz w:val="20"/>
                <w:szCs w:val="20"/>
                <w:rtl/>
                <w14:ligatures w14:val="none"/>
              </w:rPr>
              <w:t>أرقام الفقرات</w:t>
            </w:r>
          </w:p>
        </w:tc>
      </w:tr>
      <w:tr w14:paraId="3CF6FEC0">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tcBorders>
              <w:top w:val="single" w:color="7E7E7E" w:themeColor="text1" w:themeTint="80" w:sz="4" w:space="0"/>
              <w:bottom w:val="single" w:color="7E7E7E" w:themeColor="text1" w:themeTint="80" w:sz="4" w:space="0"/>
              <w:insideH w:val="single" w:sz="4" w:space="0"/>
            </w:tcBorders>
          </w:tcPr>
          <w:p w14:paraId="06558B2B">
            <w:pPr>
              <w:bidi/>
              <w:spacing w:after="0" w:line="360" w:lineRule="auto"/>
              <w:jc w:val="center"/>
              <w:rPr>
                <w:rFonts w:eastAsia="Times New Roman" w:asciiTheme="majorBidi" w:hAnsiTheme="majorBidi" w:cstheme="majorBidi"/>
                <w:b/>
                <w:bCs/>
                <w:kern w:val="0"/>
                <w:sz w:val="20"/>
                <w:szCs w:val="20"/>
                <w14:ligatures w14:val="none"/>
              </w:rPr>
            </w:pPr>
            <w:r>
              <w:rPr>
                <w:rFonts w:eastAsia="Times New Roman" w:asciiTheme="majorBidi" w:hAnsiTheme="majorBidi" w:cstheme="majorBidi"/>
                <w:b/>
                <w:bCs/>
                <w:kern w:val="0"/>
                <w:sz w:val="20"/>
                <w:szCs w:val="20"/>
                <w:rtl/>
                <w14:ligatures w14:val="none"/>
              </w:rPr>
              <w:t>الوعي بالمرض النفسي</w:t>
            </w:r>
            <w:r>
              <w:rPr>
                <w:rFonts w:eastAsia="Times New Roman" w:asciiTheme="majorBidi" w:hAnsiTheme="majorBidi" w:cstheme="majorBidi"/>
                <w:b/>
                <w:bCs/>
                <w:kern w:val="0"/>
                <w:sz w:val="20"/>
                <w:szCs w:val="20"/>
                <w14:ligatures w14:val="none"/>
              </w:rPr>
              <w:t xml:space="preserve"> (MHL)</w:t>
            </w:r>
          </w:p>
        </w:tc>
        <w:tc>
          <w:tcPr>
            <w:tcW w:w="0" w:type="auto"/>
            <w:tcBorders>
              <w:top w:val="single" w:color="7E7E7E" w:themeColor="text1" w:themeTint="80" w:sz="4" w:space="0"/>
              <w:bottom w:val="single" w:color="7E7E7E" w:themeColor="text1" w:themeTint="80" w:sz="4" w:space="0"/>
              <w:insideH w:val="single" w:sz="4" w:space="0"/>
            </w:tcBorders>
          </w:tcPr>
          <w:p w14:paraId="1AC8A081">
            <w:pPr>
              <w:bidi/>
              <w:spacing w:after="0" w:line="360" w:lineRule="auto"/>
              <w:jc w:val="center"/>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rtl/>
                <w14:ligatures w14:val="none"/>
              </w:rPr>
              <w:t xml:space="preserve"> (</w:t>
            </w:r>
            <w:r>
              <w:rPr>
                <w:rFonts w:eastAsia="Times New Roman" w:asciiTheme="majorBidi" w:hAnsiTheme="majorBidi" w:cstheme="majorBidi"/>
                <w:kern w:val="0"/>
                <w:sz w:val="20"/>
                <w:szCs w:val="20"/>
                <w14:ligatures w14:val="none"/>
              </w:rPr>
              <w:t>13</w:t>
            </w:r>
            <w:r>
              <w:rPr>
                <w:rFonts w:eastAsia="Times New Roman" w:asciiTheme="majorBidi" w:hAnsiTheme="majorBidi" w:cstheme="majorBidi"/>
                <w:kern w:val="0"/>
                <w:sz w:val="20"/>
                <w:szCs w:val="20"/>
                <w:rtl/>
                <w14:ligatures w14:val="none"/>
              </w:rPr>
              <w:t>)</w:t>
            </w:r>
          </w:p>
        </w:tc>
        <w:tc>
          <w:tcPr>
            <w:tcW w:w="0" w:type="auto"/>
            <w:tcBorders>
              <w:top w:val="single" w:color="7E7E7E" w:themeColor="text1" w:themeTint="80" w:sz="4" w:space="0"/>
              <w:bottom w:val="single" w:color="7E7E7E" w:themeColor="text1" w:themeTint="80" w:sz="4" w:space="0"/>
              <w:insideH w:val="single" w:sz="4" w:space="0"/>
            </w:tcBorders>
          </w:tcPr>
          <w:p w14:paraId="1DC22AF7">
            <w:pPr>
              <w:bidi/>
              <w:spacing w:after="0" w:line="360" w:lineRule="auto"/>
              <w:jc w:val="center"/>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14:ligatures w14:val="none"/>
              </w:rPr>
              <w:t>1</w:t>
            </w:r>
            <w:r>
              <w:rPr>
                <w:rFonts w:eastAsia="Times New Roman" w:asciiTheme="majorBidi" w:hAnsiTheme="majorBidi" w:cstheme="majorBidi"/>
                <w:kern w:val="0"/>
                <w:sz w:val="20"/>
                <w:szCs w:val="20"/>
                <w:rtl/>
                <w14:ligatures w14:val="none"/>
              </w:rPr>
              <w:t>، 2، 3، 4، 5، 6، 7، 8، 9، 12، 15، 16، 24</w:t>
            </w:r>
          </w:p>
        </w:tc>
      </w:tr>
      <w:tr w14:paraId="67D85745">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tcPr>
          <w:p w14:paraId="6A97EE5A">
            <w:pPr>
              <w:bidi/>
              <w:spacing w:after="0" w:line="360" w:lineRule="auto"/>
              <w:jc w:val="center"/>
              <w:rPr>
                <w:rFonts w:eastAsia="Times New Roman" w:asciiTheme="majorBidi" w:hAnsiTheme="majorBidi" w:cstheme="majorBidi"/>
                <w:b/>
                <w:bCs/>
                <w:kern w:val="0"/>
                <w:sz w:val="20"/>
                <w:szCs w:val="20"/>
                <w14:ligatures w14:val="none"/>
              </w:rPr>
            </w:pPr>
            <w:r>
              <w:rPr>
                <w:rFonts w:eastAsia="Times New Roman" w:asciiTheme="majorBidi" w:hAnsiTheme="majorBidi" w:cstheme="majorBidi"/>
                <w:b/>
                <w:bCs/>
                <w:kern w:val="0"/>
                <w:sz w:val="20"/>
                <w:szCs w:val="20"/>
                <w:rtl/>
                <w14:ligatures w14:val="none"/>
              </w:rPr>
              <w:t>الوصمة الاجتماعية</w:t>
            </w:r>
            <w:r>
              <w:rPr>
                <w:rFonts w:eastAsia="Times New Roman" w:asciiTheme="majorBidi" w:hAnsiTheme="majorBidi" w:cstheme="majorBidi"/>
                <w:b/>
                <w:bCs/>
                <w:kern w:val="0"/>
                <w:sz w:val="20"/>
                <w:szCs w:val="20"/>
                <w14:ligatures w14:val="none"/>
              </w:rPr>
              <w:t xml:space="preserve"> (Stigma)</w:t>
            </w:r>
          </w:p>
        </w:tc>
        <w:tc>
          <w:tcPr>
            <w:tcW w:w="0" w:type="auto"/>
          </w:tcPr>
          <w:p w14:paraId="619FF465">
            <w:pPr>
              <w:bidi/>
              <w:spacing w:after="0" w:line="360" w:lineRule="auto"/>
              <w:jc w:val="center"/>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rtl/>
                <w14:ligatures w14:val="none"/>
              </w:rPr>
              <w:t xml:space="preserve"> (</w:t>
            </w:r>
            <w:r>
              <w:rPr>
                <w:rFonts w:eastAsia="Times New Roman" w:asciiTheme="majorBidi" w:hAnsiTheme="majorBidi" w:cstheme="majorBidi"/>
                <w:kern w:val="0"/>
                <w:sz w:val="20"/>
                <w:szCs w:val="20"/>
                <w14:ligatures w14:val="none"/>
              </w:rPr>
              <w:t>11</w:t>
            </w:r>
            <w:r>
              <w:rPr>
                <w:rFonts w:eastAsia="Times New Roman" w:asciiTheme="majorBidi" w:hAnsiTheme="majorBidi" w:cstheme="majorBidi"/>
                <w:kern w:val="0"/>
                <w:sz w:val="20"/>
                <w:szCs w:val="20"/>
                <w:rtl/>
                <w14:ligatures w14:val="none"/>
              </w:rPr>
              <w:t>)</w:t>
            </w:r>
          </w:p>
        </w:tc>
        <w:tc>
          <w:tcPr>
            <w:tcW w:w="0" w:type="auto"/>
          </w:tcPr>
          <w:p w14:paraId="506FB0A4">
            <w:pPr>
              <w:bidi/>
              <w:spacing w:after="0" w:line="360" w:lineRule="auto"/>
              <w:jc w:val="center"/>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14:ligatures w14:val="none"/>
              </w:rPr>
              <w:t>10</w:t>
            </w:r>
            <w:r>
              <w:rPr>
                <w:rFonts w:eastAsia="Times New Roman" w:asciiTheme="majorBidi" w:hAnsiTheme="majorBidi" w:cstheme="majorBidi"/>
                <w:kern w:val="0"/>
                <w:sz w:val="20"/>
                <w:szCs w:val="20"/>
                <w:rtl/>
                <w14:ligatures w14:val="none"/>
              </w:rPr>
              <w:t>، 11، 13، 14، 17، 18، 19، 20، 21، 22، 23</w:t>
            </w:r>
          </w:p>
        </w:tc>
      </w:tr>
    </w:tbl>
    <w:p w14:paraId="12F4F9DB">
      <w:pPr>
        <w:pStyle w:val="10"/>
        <w:bidi/>
        <w:spacing w:line="360" w:lineRule="auto"/>
        <w:jc w:val="lowKashida"/>
        <w:rPr>
          <w:rFonts w:asciiTheme="majorBidi" w:hAnsiTheme="majorBidi" w:cstheme="majorBidi"/>
          <w:b/>
          <w:bCs/>
        </w:rPr>
      </w:pPr>
      <w:r>
        <w:rPr>
          <w:rFonts w:asciiTheme="majorBidi" w:hAnsiTheme="majorBidi" w:cstheme="majorBidi"/>
          <w:b/>
          <w:bCs/>
          <w:rtl/>
        </w:rPr>
        <w:t>تفسير المتوسطات الحسابية لمستوى تقديرات أفراد العينة (مقياس ثلاثي)</w:t>
      </w:r>
    </w:p>
    <w:p w14:paraId="5B21F623">
      <w:pPr>
        <w:pStyle w:val="3"/>
        <w:bidi/>
        <w:spacing w:before="0" w:after="160" w:line="360" w:lineRule="auto"/>
        <w:jc w:val="lowKashida"/>
        <w:rPr>
          <w:rFonts w:asciiTheme="majorBidi" w:hAnsiTheme="majorBidi"/>
          <w:color w:val="auto"/>
          <w:kern w:val="0"/>
          <w:rtl/>
          <w14:ligatures w14:val="none"/>
        </w:rPr>
      </w:pPr>
      <w:r>
        <w:rPr>
          <w:rFonts w:asciiTheme="majorBidi" w:hAnsiTheme="majorBidi"/>
          <w:color w:val="auto"/>
          <w:rtl/>
        </w:rPr>
        <w:t>نظرًا لأن أداة الدراسة تستخدم</w:t>
      </w:r>
      <w:r>
        <w:rPr>
          <w:rFonts w:asciiTheme="majorBidi" w:hAnsiTheme="majorBidi"/>
          <w:b/>
          <w:bCs/>
          <w:color w:val="auto"/>
          <w:rtl/>
        </w:rPr>
        <w:t xml:space="preserve"> </w:t>
      </w:r>
      <w:r>
        <w:rPr>
          <w:rStyle w:val="11"/>
          <w:rFonts w:asciiTheme="majorBidi" w:hAnsiTheme="majorBidi"/>
          <w:b w:val="0"/>
          <w:bCs w:val="0"/>
          <w:color w:val="auto"/>
          <w:rtl/>
        </w:rPr>
        <w:t>مقياسًا ثلاثي الخيارات</w:t>
      </w:r>
      <w:r>
        <w:rPr>
          <w:rFonts w:asciiTheme="majorBidi" w:hAnsiTheme="majorBidi"/>
          <w:color w:val="auto"/>
          <w:rtl/>
        </w:rPr>
        <w:t xml:space="preserve"> الترميز المعتمد </w:t>
      </w:r>
      <w:r>
        <w:rPr>
          <w:rStyle w:val="11"/>
          <w:rFonts w:asciiTheme="majorBidi" w:hAnsiTheme="majorBidi"/>
          <w:b w:val="0"/>
          <w:bCs w:val="0"/>
          <w:color w:val="auto"/>
          <w:rtl/>
        </w:rPr>
        <w:t xml:space="preserve">نعم = </w:t>
      </w:r>
      <w:r>
        <w:rPr>
          <w:rStyle w:val="11"/>
          <w:rFonts w:asciiTheme="majorBidi" w:hAnsiTheme="majorBidi"/>
          <w:b w:val="0"/>
          <w:bCs w:val="0"/>
          <w:color w:val="auto"/>
        </w:rPr>
        <w:t>3</w:t>
      </w:r>
      <w:r>
        <w:rPr>
          <w:rStyle w:val="11"/>
          <w:rFonts w:asciiTheme="majorBidi" w:hAnsiTheme="majorBidi"/>
          <w:b w:val="0"/>
          <w:bCs w:val="0"/>
          <w:color w:val="auto"/>
          <w:rtl/>
        </w:rPr>
        <w:t xml:space="preserve">، لا أعلم = </w:t>
      </w:r>
      <w:r>
        <w:rPr>
          <w:rStyle w:val="11"/>
          <w:rFonts w:asciiTheme="majorBidi" w:hAnsiTheme="majorBidi"/>
          <w:b w:val="0"/>
          <w:bCs w:val="0"/>
          <w:color w:val="auto"/>
        </w:rPr>
        <w:t>2</w:t>
      </w:r>
      <w:r>
        <w:rPr>
          <w:rStyle w:val="11"/>
          <w:rFonts w:asciiTheme="majorBidi" w:hAnsiTheme="majorBidi"/>
          <w:b w:val="0"/>
          <w:bCs w:val="0"/>
          <w:color w:val="auto"/>
          <w:rtl/>
        </w:rPr>
        <w:t xml:space="preserve">، لا = </w:t>
      </w:r>
      <w:r>
        <w:rPr>
          <w:rStyle w:val="11"/>
          <w:rFonts w:asciiTheme="majorBidi" w:hAnsiTheme="majorBidi"/>
          <w:b w:val="0"/>
          <w:bCs w:val="0"/>
          <w:color w:val="auto"/>
        </w:rPr>
        <w:t>1</w:t>
      </w:r>
      <w:r>
        <w:rPr>
          <w:rStyle w:val="11"/>
          <w:rFonts w:asciiTheme="majorBidi" w:hAnsiTheme="majorBidi"/>
          <w:b w:val="0"/>
          <w:bCs w:val="0"/>
          <w:color w:val="auto"/>
          <w:rtl/>
        </w:rPr>
        <w:t xml:space="preserve">، </w:t>
      </w:r>
      <w:r>
        <w:rPr>
          <w:rStyle w:val="11"/>
          <w:rFonts w:hint="cs" w:asciiTheme="majorBidi" w:hAnsiTheme="majorBidi"/>
          <w:b w:val="0"/>
          <w:bCs w:val="0"/>
          <w:color w:val="auto"/>
          <w:rtl/>
          <w:lang w:bidi="ar-JO"/>
        </w:rPr>
        <w:t>و</w:t>
      </w:r>
      <w:r>
        <w:rPr>
          <w:rStyle w:val="11"/>
          <w:rFonts w:asciiTheme="majorBidi" w:hAnsiTheme="majorBidi"/>
          <w:b w:val="0"/>
          <w:bCs w:val="0"/>
          <w:color w:val="auto"/>
          <w:rtl/>
        </w:rPr>
        <w:t>هذا النوع من الترميز يحافظ على منطقية البيانات</w:t>
      </w:r>
      <w:r>
        <w:rPr>
          <w:rFonts w:asciiTheme="majorBidi" w:hAnsiTheme="majorBidi"/>
          <w:color w:val="auto"/>
          <w:rtl/>
        </w:rPr>
        <w:t>، و تم حساب طول الفئة باستخدام المعادلة التالية</w:t>
      </w:r>
      <w:r>
        <w:rPr>
          <w:rFonts w:asciiTheme="majorBidi" w:hAnsiTheme="majorBidi"/>
          <w:color w:val="auto"/>
        </w:rPr>
        <w:t>:</w:t>
      </w:r>
      <w:r>
        <w:rPr>
          <w:rFonts w:asciiTheme="majorBidi" w:hAnsiTheme="majorBidi"/>
          <w:color w:val="auto"/>
          <w:rtl/>
        </w:rPr>
        <w:t xml:space="preserve"> طول الفئه = (أكبر قيمة – أدنى قيمة) / عدد الفئات = (3-1) / 3 = 0.67. وبناءً عليه، تم تقسيم المتوسطات إلى المستويات التالية</w:t>
      </w:r>
      <w:r>
        <w:rPr>
          <w:rFonts w:asciiTheme="majorBidi" w:hAnsiTheme="majorBidi"/>
          <w:color w:val="auto"/>
        </w:rPr>
        <w:t>:</w:t>
      </w:r>
      <w:r>
        <w:rPr>
          <w:rFonts w:asciiTheme="majorBidi" w:hAnsiTheme="majorBidi"/>
          <w:color w:val="auto"/>
          <w:rtl/>
        </w:rPr>
        <w:t xml:space="preserve"> </w:t>
      </w:r>
      <w:r>
        <w:rPr>
          <w:rStyle w:val="11"/>
          <w:rFonts w:asciiTheme="majorBidi" w:hAnsiTheme="majorBidi"/>
          <w:b w:val="0"/>
          <w:bCs w:val="0"/>
          <w:color w:val="auto"/>
          <w:rtl/>
        </w:rPr>
        <w:t>من 1.00 حتى أقل من 1.67 مستوى منخفض،</w:t>
      </w:r>
      <w:r>
        <w:rPr>
          <w:rStyle w:val="11"/>
          <w:rFonts w:asciiTheme="majorBidi" w:hAnsiTheme="majorBidi"/>
          <w:b w:val="0"/>
          <w:bCs w:val="0"/>
          <w:color w:val="auto"/>
        </w:rPr>
        <w:t xml:space="preserve"> </w:t>
      </w:r>
      <w:r>
        <w:rPr>
          <w:rStyle w:val="11"/>
          <w:rFonts w:asciiTheme="majorBidi" w:hAnsiTheme="majorBidi"/>
          <w:b w:val="0"/>
          <w:bCs w:val="0"/>
          <w:color w:val="auto"/>
          <w:rtl/>
        </w:rPr>
        <w:t>من 1.67 حتى أقل من 2.33 مستوى متوسط، من 2.33 حتى 3.00 مستوى مرتفع.</w:t>
      </w:r>
    </w:p>
    <w:p w14:paraId="7F18DB3B">
      <w:pPr>
        <w:bidi/>
        <w:spacing w:line="360" w:lineRule="auto"/>
        <w:jc w:val="lowKashida"/>
        <w:rPr>
          <w:rFonts w:asciiTheme="majorBidi" w:hAnsiTheme="majorBidi" w:cstheme="majorBidi"/>
          <w:b/>
          <w:bCs/>
          <w:rtl/>
        </w:rPr>
      </w:pPr>
      <w:r>
        <w:rPr>
          <w:rFonts w:asciiTheme="majorBidi" w:hAnsiTheme="majorBidi" w:cstheme="majorBidi"/>
          <w:b/>
          <w:bCs/>
          <w:rtl/>
        </w:rPr>
        <w:t>صدق الأداة وثباتها</w:t>
      </w:r>
    </w:p>
    <w:p w14:paraId="779F4FDB">
      <w:pPr>
        <w:bidi/>
        <w:spacing w:line="360" w:lineRule="auto"/>
        <w:jc w:val="lowKashida"/>
        <w:rPr>
          <w:rFonts w:eastAsia="Times New Roman" w:asciiTheme="majorBidi" w:hAnsiTheme="majorBidi" w:cstheme="majorBidi"/>
          <w:kern w:val="0"/>
          <w14:ligatures w14:val="none"/>
        </w:rPr>
      </w:pPr>
      <w:r>
        <w:rPr>
          <w:rStyle w:val="11"/>
          <w:rFonts w:asciiTheme="majorBidi" w:hAnsiTheme="majorBidi" w:cstheme="majorBidi"/>
          <w:rtl/>
        </w:rPr>
        <w:t>الصدق الظاهري</w:t>
      </w:r>
      <w:r>
        <w:rPr>
          <w:rStyle w:val="11"/>
          <w:rFonts w:asciiTheme="majorBidi" w:hAnsiTheme="majorBidi" w:cstheme="majorBidi"/>
        </w:rPr>
        <w:t>:</w:t>
      </w:r>
      <w:r>
        <w:rPr>
          <w:rFonts w:asciiTheme="majorBidi" w:hAnsiTheme="majorBidi" w:cstheme="majorBidi"/>
          <w:rtl/>
        </w:rPr>
        <w:t xml:space="preserve"> تم عرض النسخة الاولية من مقياس محو الأمية في مجال الصحة النفسية والوصمة الاجتماعية على </w:t>
      </w:r>
      <w:r>
        <w:rPr>
          <w:rFonts w:asciiTheme="majorBidi" w:hAnsiTheme="majorBidi" w:cstheme="majorBidi"/>
          <w:rtl/>
          <w:lang w:bidi="ar-JO"/>
        </w:rPr>
        <w:t>(7)</w:t>
      </w:r>
      <w:r>
        <w:rPr>
          <w:rFonts w:asciiTheme="majorBidi" w:hAnsiTheme="majorBidi" w:cstheme="majorBidi"/>
          <w:rtl/>
        </w:rPr>
        <w:t xml:space="preserve"> من الخبراء والمتخصصين في الصحة النفسية وعلم النفس، وذلك لمراجعة صياغة الفقرات ومدى ملاءمتها الثقافية وأهداف الدراسة. وقد أسهمت ملاحظاتهم في تعديل بعض الصياغات لضمان وضوحها وشمولها، مما عزز الصدق الظاهري للأداة</w:t>
      </w:r>
      <w:r>
        <w:rPr>
          <w:rFonts w:asciiTheme="majorBidi" w:hAnsiTheme="majorBidi" w:cstheme="majorBidi"/>
        </w:rPr>
        <w:t>.</w:t>
      </w:r>
    </w:p>
    <w:p w14:paraId="35C77447">
      <w:pPr>
        <w:pStyle w:val="10"/>
        <w:bidi/>
        <w:spacing w:line="360" w:lineRule="auto"/>
        <w:jc w:val="lowKashida"/>
        <w:rPr>
          <w:rFonts w:asciiTheme="majorBidi" w:hAnsiTheme="majorBidi" w:cstheme="majorBidi"/>
          <w:rtl/>
        </w:rPr>
      </w:pPr>
      <w:r>
        <w:rPr>
          <w:rStyle w:val="11"/>
          <w:rFonts w:asciiTheme="majorBidi" w:hAnsiTheme="majorBidi" w:cstheme="majorBidi"/>
          <w:rtl/>
        </w:rPr>
        <w:t>الصدق البنائي (الاتساق الداخلي)</w:t>
      </w:r>
      <w:r>
        <w:rPr>
          <w:rStyle w:val="11"/>
          <w:rFonts w:asciiTheme="majorBidi" w:hAnsiTheme="majorBidi" w:cstheme="majorBidi"/>
        </w:rPr>
        <w:t>:</w:t>
      </w:r>
      <w:r>
        <w:rPr>
          <w:rFonts w:asciiTheme="majorBidi" w:hAnsiTheme="majorBidi" w:cstheme="majorBidi"/>
          <w:rtl/>
        </w:rPr>
        <w:t xml:space="preserve"> تم التحقق من صدق البناء من خلال حساب معاملات ارتباط بيرسون بين كل فقرة والمجموع الكلي الذي تنتمي إليه، وذلك باستخدام عينة استطلاعية مكونة من 20 مشاركًا من خارج العينة الرئيسية، وأظهرت نتائج معاملات الارتباط أن قيمها تراوحت بين 0.222 و0.564، وجميعها كانت ذات دلالة إحصائية عند مستوى 0.01، مما يشير إلى اتساق داخلي جيد ومقبول يعكس جودة الفقرات في تمثيل الأبعاد المختلفة للمقياس</w:t>
      </w:r>
      <w:r>
        <w:rPr>
          <w:rFonts w:asciiTheme="majorBidi" w:hAnsiTheme="majorBidi" w:cstheme="majorBidi"/>
        </w:rPr>
        <w:t>.</w:t>
      </w:r>
    </w:p>
    <w:p w14:paraId="3FC49B0A">
      <w:pPr>
        <w:pStyle w:val="10"/>
        <w:bidi/>
        <w:spacing w:after="0" w:line="360" w:lineRule="auto"/>
        <w:jc w:val="center"/>
        <w:rPr>
          <w:rFonts w:asciiTheme="majorBidi" w:hAnsiTheme="majorBidi" w:cstheme="majorBidi"/>
        </w:rPr>
      </w:pPr>
      <w:r>
        <w:rPr>
          <w:rFonts w:asciiTheme="majorBidi" w:hAnsiTheme="majorBidi" w:cstheme="majorBidi"/>
          <w:b/>
          <w:bCs/>
          <w:color w:val="000000" w:themeColor="text1"/>
          <w:rtl/>
          <w14:textFill>
            <w14:solidFill>
              <w14:schemeClr w14:val="tx1"/>
            </w14:solidFill>
          </w14:textFill>
        </w:rPr>
        <w:t xml:space="preserve">جدول (3) معاملات ارتباط فقرات </w:t>
      </w:r>
      <w:r>
        <w:rPr>
          <w:rStyle w:val="11"/>
          <w:rFonts w:asciiTheme="majorBidi" w:hAnsiTheme="majorBidi" w:cstheme="majorBidi"/>
          <w:rtl/>
        </w:rPr>
        <w:t>مقياس محو الأمية في مجال الصحة النفسية والوصمة</w:t>
      </w:r>
      <w:r>
        <w:rPr>
          <w:rFonts w:asciiTheme="majorBidi" w:hAnsiTheme="majorBidi" w:cstheme="majorBidi"/>
          <w:rtl/>
        </w:rPr>
        <w:t xml:space="preserve"> </w:t>
      </w:r>
      <w:r>
        <w:rPr>
          <w:rFonts w:asciiTheme="majorBidi" w:hAnsiTheme="majorBidi" w:cstheme="majorBidi"/>
          <w:b/>
          <w:bCs/>
          <w:rtl/>
        </w:rPr>
        <w:t>الاجتماعية</w:t>
      </w:r>
    </w:p>
    <w:tbl>
      <w:tblPr>
        <w:tblStyle w:val="18"/>
        <w:bidiVisual/>
        <w:tblW w:w="9306" w:type="dxa"/>
        <w:tblInd w:w="0" w:type="dxa"/>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25"/>
        <w:gridCol w:w="1385"/>
        <w:gridCol w:w="819"/>
        <w:gridCol w:w="1544"/>
        <w:gridCol w:w="611"/>
        <w:gridCol w:w="1636"/>
        <w:gridCol w:w="14"/>
        <w:gridCol w:w="971"/>
        <w:gridCol w:w="1701"/>
      </w:tblGrid>
      <w:tr w14:paraId="3E7C2A01">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 w:hRule="atLeast"/>
        </w:trPr>
        <w:tc>
          <w:tcPr>
            <w:tcW w:w="625" w:type="dxa"/>
            <w:tcBorders>
              <w:bottom w:val="single" w:color="7E7E7E" w:themeColor="text1" w:themeTint="80" w:sz="4" w:space="0"/>
              <w:insideH w:val="single" w:sz="4" w:space="0"/>
            </w:tcBorders>
          </w:tcPr>
          <w:p w14:paraId="747CA0E7">
            <w:pPr>
              <w:bidi/>
              <w:spacing w:after="0" w:line="360" w:lineRule="auto"/>
              <w:jc w:val="lowKashida"/>
              <w:rPr>
                <w:rFonts w:asciiTheme="majorBidi" w:hAnsiTheme="majorBidi" w:cstheme="majorBidi"/>
                <w:b w:val="0"/>
                <w:bCs w:val="0"/>
                <w:sz w:val="20"/>
                <w:szCs w:val="20"/>
              </w:rPr>
            </w:pPr>
            <w:r>
              <w:rPr>
                <w:rFonts w:asciiTheme="majorBidi" w:hAnsiTheme="majorBidi" w:cstheme="majorBidi"/>
                <w:b/>
                <w:bCs/>
                <w:sz w:val="20"/>
                <w:szCs w:val="20"/>
                <w:rtl/>
              </w:rPr>
              <w:t>الفقرة</w:t>
            </w:r>
          </w:p>
        </w:tc>
        <w:tc>
          <w:tcPr>
            <w:tcW w:w="1385" w:type="dxa"/>
            <w:tcBorders>
              <w:bottom w:val="single" w:color="7E7E7E" w:themeColor="text1" w:themeTint="80" w:sz="4" w:space="0"/>
              <w:insideH w:val="single" w:sz="4" w:space="0"/>
            </w:tcBorders>
          </w:tcPr>
          <w:p w14:paraId="6C35A8B0">
            <w:pPr>
              <w:bidi/>
              <w:spacing w:after="0" w:line="360" w:lineRule="auto"/>
              <w:jc w:val="lowKashida"/>
              <w:rPr>
                <w:rFonts w:asciiTheme="majorBidi" w:hAnsiTheme="majorBidi" w:cstheme="majorBidi"/>
                <w:b w:val="0"/>
                <w:bCs w:val="0"/>
                <w:sz w:val="20"/>
                <w:szCs w:val="20"/>
              </w:rPr>
            </w:pPr>
            <w:r>
              <w:rPr>
                <w:rFonts w:asciiTheme="majorBidi" w:hAnsiTheme="majorBidi" w:cstheme="majorBidi"/>
                <w:b/>
                <w:bCs/>
                <w:sz w:val="20"/>
                <w:szCs w:val="20"/>
                <w:rtl/>
              </w:rPr>
              <w:t>معامل الارتباط</w:t>
            </w:r>
          </w:p>
        </w:tc>
        <w:tc>
          <w:tcPr>
            <w:tcW w:w="819" w:type="dxa"/>
            <w:tcBorders>
              <w:bottom w:val="single" w:color="7E7E7E" w:themeColor="text1" w:themeTint="80" w:sz="4" w:space="0"/>
              <w:insideH w:val="single" w:sz="4" w:space="0"/>
            </w:tcBorders>
          </w:tcPr>
          <w:p w14:paraId="619561FE">
            <w:pPr>
              <w:bidi/>
              <w:spacing w:after="0" w:line="360" w:lineRule="auto"/>
              <w:jc w:val="lowKashida"/>
              <w:rPr>
                <w:rFonts w:asciiTheme="majorBidi" w:hAnsiTheme="majorBidi" w:cstheme="majorBidi"/>
                <w:b w:val="0"/>
                <w:bCs w:val="0"/>
                <w:sz w:val="20"/>
                <w:szCs w:val="20"/>
              </w:rPr>
            </w:pPr>
            <w:r>
              <w:rPr>
                <w:rFonts w:asciiTheme="majorBidi" w:hAnsiTheme="majorBidi" w:cstheme="majorBidi"/>
                <w:b/>
                <w:bCs/>
                <w:sz w:val="20"/>
                <w:szCs w:val="20"/>
                <w:rtl/>
              </w:rPr>
              <w:t>الفقرة</w:t>
            </w:r>
          </w:p>
        </w:tc>
        <w:tc>
          <w:tcPr>
            <w:tcW w:w="1544" w:type="dxa"/>
            <w:tcBorders>
              <w:bottom w:val="single" w:color="7E7E7E" w:themeColor="text1" w:themeTint="80" w:sz="4" w:space="0"/>
              <w:insideH w:val="single" w:sz="4" w:space="0"/>
            </w:tcBorders>
          </w:tcPr>
          <w:p w14:paraId="3ADD496E">
            <w:pPr>
              <w:bidi/>
              <w:spacing w:after="0" w:line="360" w:lineRule="auto"/>
              <w:jc w:val="lowKashida"/>
              <w:rPr>
                <w:rFonts w:asciiTheme="majorBidi" w:hAnsiTheme="majorBidi" w:cstheme="majorBidi"/>
                <w:b w:val="0"/>
                <w:bCs w:val="0"/>
                <w:sz w:val="20"/>
                <w:szCs w:val="20"/>
              </w:rPr>
            </w:pPr>
            <w:r>
              <w:rPr>
                <w:rFonts w:asciiTheme="majorBidi" w:hAnsiTheme="majorBidi" w:cstheme="majorBidi"/>
                <w:b/>
                <w:bCs/>
                <w:sz w:val="20"/>
                <w:szCs w:val="20"/>
                <w:rtl/>
              </w:rPr>
              <w:t>معامل الارتباط</w:t>
            </w:r>
          </w:p>
        </w:tc>
        <w:tc>
          <w:tcPr>
            <w:tcW w:w="611" w:type="dxa"/>
            <w:tcBorders>
              <w:bottom w:val="single" w:color="7E7E7E" w:themeColor="text1" w:themeTint="80" w:sz="4" w:space="0"/>
              <w:insideH w:val="single" w:sz="4" w:space="0"/>
            </w:tcBorders>
          </w:tcPr>
          <w:p w14:paraId="5656D9FA">
            <w:pPr>
              <w:bidi/>
              <w:spacing w:after="0" w:line="360" w:lineRule="auto"/>
              <w:jc w:val="lowKashida"/>
              <w:rPr>
                <w:rFonts w:asciiTheme="majorBidi" w:hAnsiTheme="majorBidi" w:cstheme="majorBidi"/>
                <w:b w:val="0"/>
                <w:bCs w:val="0"/>
                <w:sz w:val="20"/>
                <w:szCs w:val="20"/>
              </w:rPr>
            </w:pPr>
            <w:r>
              <w:rPr>
                <w:rFonts w:asciiTheme="majorBidi" w:hAnsiTheme="majorBidi" w:cstheme="majorBidi"/>
                <w:b/>
                <w:bCs/>
                <w:sz w:val="20"/>
                <w:szCs w:val="20"/>
                <w:rtl/>
              </w:rPr>
              <w:t>الفقرة</w:t>
            </w:r>
          </w:p>
        </w:tc>
        <w:tc>
          <w:tcPr>
            <w:tcW w:w="1636" w:type="dxa"/>
            <w:tcBorders>
              <w:bottom w:val="single" w:color="7E7E7E" w:themeColor="text1" w:themeTint="80" w:sz="4" w:space="0"/>
              <w:insideH w:val="single" w:sz="4" w:space="0"/>
            </w:tcBorders>
          </w:tcPr>
          <w:p w14:paraId="5CF51D91">
            <w:pPr>
              <w:bidi/>
              <w:spacing w:after="0" w:line="360" w:lineRule="auto"/>
              <w:jc w:val="lowKashida"/>
              <w:rPr>
                <w:rFonts w:asciiTheme="majorBidi" w:hAnsiTheme="majorBidi" w:cstheme="majorBidi"/>
                <w:b w:val="0"/>
                <w:bCs w:val="0"/>
                <w:sz w:val="20"/>
                <w:szCs w:val="20"/>
              </w:rPr>
            </w:pPr>
            <w:r>
              <w:rPr>
                <w:rFonts w:asciiTheme="majorBidi" w:hAnsiTheme="majorBidi" w:cstheme="majorBidi"/>
                <w:b/>
                <w:bCs/>
                <w:sz w:val="20"/>
                <w:szCs w:val="20"/>
                <w:rtl/>
              </w:rPr>
              <w:t>معامل الارتباط</w:t>
            </w:r>
          </w:p>
        </w:tc>
        <w:tc>
          <w:tcPr>
            <w:tcW w:w="985" w:type="dxa"/>
            <w:gridSpan w:val="2"/>
            <w:tcBorders>
              <w:bottom w:val="single" w:color="7E7E7E" w:themeColor="text1" w:themeTint="80" w:sz="4" w:space="0"/>
              <w:insideH w:val="single" w:sz="4" w:space="0"/>
            </w:tcBorders>
          </w:tcPr>
          <w:p w14:paraId="427C2409">
            <w:pPr>
              <w:bidi/>
              <w:spacing w:after="0" w:line="360" w:lineRule="auto"/>
              <w:jc w:val="lowKashida"/>
              <w:rPr>
                <w:rFonts w:asciiTheme="majorBidi" w:hAnsiTheme="majorBidi" w:cstheme="majorBidi"/>
                <w:b w:val="0"/>
                <w:bCs w:val="0"/>
                <w:sz w:val="20"/>
                <w:szCs w:val="20"/>
                <w:rtl/>
              </w:rPr>
            </w:pPr>
            <w:r>
              <w:rPr>
                <w:rFonts w:asciiTheme="majorBidi" w:hAnsiTheme="majorBidi" w:cstheme="majorBidi"/>
                <w:b/>
                <w:bCs/>
                <w:sz w:val="20"/>
                <w:szCs w:val="20"/>
                <w:rtl/>
              </w:rPr>
              <w:t>الفقرة</w:t>
            </w:r>
          </w:p>
        </w:tc>
        <w:tc>
          <w:tcPr>
            <w:tcW w:w="1701" w:type="dxa"/>
            <w:tcBorders>
              <w:bottom w:val="single" w:color="7E7E7E" w:themeColor="text1" w:themeTint="80" w:sz="4" w:space="0"/>
              <w:insideH w:val="single" w:sz="4" w:space="0"/>
            </w:tcBorders>
          </w:tcPr>
          <w:p w14:paraId="2F7F3760">
            <w:pPr>
              <w:bidi/>
              <w:spacing w:after="0" w:line="360" w:lineRule="auto"/>
              <w:jc w:val="lowKashida"/>
              <w:rPr>
                <w:rFonts w:asciiTheme="majorBidi" w:hAnsiTheme="majorBidi" w:cstheme="majorBidi"/>
                <w:b w:val="0"/>
                <w:bCs w:val="0"/>
                <w:sz w:val="20"/>
                <w:szCs w:val="20"/>
                <w:rtl/>
              </w:rPr>
            </w:pPr>
            <w:r>
              <w:rPr>
                <w:rFonts w:asciiTheme="majorBidi" w:hAnsiTheme="majorBidi" w:cstheme="majorBidi"/>
                <w:b/>
                <w:bCs/>
                <w:sz w:val="20"/>
                <w:szCs w:val="20"/>
                <w:rtl/>
              </w:rPr>
              <w:t>معامل الارتباط</w:t>
            </w:r>
          </w:p>
        </w:tc>
      </w:tr>
      <w:tr w14:paraId="3CDAE5E7">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1" w:hRule="atLeast"/>
        </w:trPr>
        <w:tc>
          <w:tcPr>
            <w:tcW w:w="625" w:type="dxa"/>
            <w:tcBorders>
              <w:top w:val="single" w:color="7E7E7E" w:themeColor="text1" w:themeTint="80" w:sz="4" w:space="0"/>
              <w:bottom w:val="single" w:color="7E7E7E" w:themeColor="text1" w:themeTint="80" w:sz="4" w:space="0"/>
              <w:insideH w:val="single" w:sz="4" w:space="0"/>
            </w:tcBorders>
          </w:tcPr>
          <w:p w14:paraId="3C6430D2">
            <w:pPr>
              <w:bidi/>
              <w:spacing w:after="0" w:line="360" w:lineRule="auto"/>
              <w:jc w:val="lowKashida"/>
              <w:rPr>
                <w:rFonts w:asciiTheme="majorBidi" w:hAnsiTheme="majorBidi" w:cstheme="majorBidi"/>
                <w:b w:val="0"/>
                <w:bCs w:val="0"/>
                <w:sz w:val="20"/>
                <w:szCs w:val="20"/>
              </w:rPr>
            </w:pPr>
            <w:r>
              <w:rPr>
                <w:rFonts w:asciiTheme="majorBidi" w:hAnsiTheme="majorBidi" w:cstheme="majorBidi"/>
                <w:b w:val="0"/>
                <w:bCs w:val="0"/>
                <w:sz w:val="20"/>
                <w:szCs w:val="20"/>
              </w:rPr>
              <w:t>1</w:t>
            </w:r>
          </w:p>
        </w:tc>
        <w:tc>
          <w:tcPr>
            <w:tcW w:w="1385" w:type="dxa"/>
            <w:tcBorders>
              <w:top w:val="single" w:color="7E7E7E" w:themeColor="text1" w:themeTint="80" w:sz="4" w:space="0"/>
              <w:bottom w:val="single" w:color="7E7E7E" w:themeColor="text1" w:themeTint="80" w:sz="4" w:space="0"/>
              <w:insideH w:val="single" w:sz="4" w:space="0"/>
            </w:tcBorders>
          </w:tcPr>
          <w:p w14:paraId="6AB1B490">
            <w:pPr>
              <w:bidi/>
              <w:spacing w:after="0" w:line="360" w:lineRule="auto"/>
              <w:jc w:val="lowKashida"/>
              <w:rPr>
                <w:rFonts w:asciiTheme="majorBidi" w:hAnsiTheme="majorBidi" w:cstheme="majorBidi"/>
                <w:sz w:val="20"/>
                <w:szCs w:val="20"/>
              </w:rPr>
            </w:pPr>
            <w:r>
              <w:rPr>
                <w:rFonts w:asciiTheme="majorBidi" w:hAnsiTheme="majorBidi" w:cstheme="majorBidi"/>
                <w:sz w:val="20"/>
                <w:szCs w:val="20"/>
              </w:rPr>
              <w:t>0.438**</w:t>
            </w:r>
          </w:p>
        </w:tc>
        <w:tc>
          <w:tcPr>
            <w:tcW w:w="819" w:type="dxa"/>
            <w:tcBorders>
              <w:top w:val="single" w:color="7E7E7E" w:themeColor="text1" w:themeTint="80" w:sz="4" w:space="0"/>
              <w:bottom w:val="single" w:color="7E7E7E" w:themeColor="text1" w:themeTint="80" w:sz="4" w:space="0"/>
              <w:insideH w:val="single" w:sz="4" w:space="0"/>
            </w:tcBorders>
          </w:tcPr>
          <w:p w14:paraId="3E68F512">
            <w:pPr>
              <w:bidi/>
              <w:spacing w:after="0" w:line="360" w:lineRule="auto"/>
              <w:jc w:val="lowKashida"/>
              <w:rPr>
                <w:rFonts w:asciiTheme="majorBidi" w:hAnsiTheme="majorBidi" w:cstheme="majorBidi"/>
                <w:sz w:val="20"/>
                <w:szCs w:val="20"/>
              </w:rPr>
            </w:pPr>
            <w:r>
              <w:rPr>
                <w:rFonts w:asciiTheme="majorBidi" w:hAnsiTheme="majorBidi" w:cstheme="majorBidi"/>
                <w:sz w:val="20"/>
                <w:szCs w:val="20"/>
                <w:rtl/>
              </w:rPr>
              <w:t>7</w:t>
            </w:r>
          </w:p>
        </w:tc>
        <w:tc>
          <w:tcPr>
            <w:tcW w:w="1544" w:type="dxa"/>
            <w:tcBorders>
              <w:top w:val="single" w:color="7E7E7E" w:themeColor="text1" w:themeTint="80" w:sz="4" w:space="0"/>
              <w:bottom w:val="single" w:color="7E7E7E" w:themeColor="text1" w:themeTint="80" w:sz="4" w:space="0"/>
              <w:insideH w:val="single" w:sz="4" w:space="0"/>
            </w:tcBorders>
          </w:tcPr>
          <w:p w14:paraId="5B8E7793">
            <w:pPr>
              <w:bidi/>
              <w:spacing w:after="0" w:line="360" w:lineRule="auto"/>
              <w:jc w:val="lowKashida"/>
              <w:rPr>
                <w:rFonts w:asciiTheme="majorBidi" w:hAnsiTheme="majorBidi" w:cstheme="majorBidi"/>
                <w:sz w:val="20"/>
                <w:szCs w:val="20"/>
              </w:rPr>
            </w:pPr>
            <w:r>
              <w:rPr>
                <w:rFonts w:asciiTheme="majorBidi" w:hAnsiTheme="majorBidi" w:cstheme="majorBidi"/>
                <w:sz w:val="20"/>
                <w:szCs w:val="20"/>
              </w:rPr>
              <w:t>0.297**</w:t>
            </w:r>
          </w:p>
        </w:tc>
        <w:tc>
          <w:tcPr>
            <w:tcW w:w="611" w:type="dxa"/>
            <w:tcBorders>
              <w:top w:val="single" w:color="7E7E7E" w:themeColor="text1" w:themeTint="80" w:sz="4" w:space="0"/>
              <w:bottom w:val="single" w:color="7E7E7E" w:themeColor="text1" w:themeTint="80" w:sz="4" w:space="0"/>
              <w:insideH w:val="single" w:sz="4" w:space="0"/>
            </w:tcBorders>
          </w:tcPr>
          <w:p w14:paraId="038E198C">
            <w:pPr>
              <w:bidi/>
              <w:spacing w:after="0" w:line="360" w:lineRule="auto"/>
              <w:jc w:val="lowKashida"/>
              <w:rPr>
                <w:rFonts w:asciiTheme="majorBidi" w:hAnsiTheme="majorBidi" w:cstheme="majorBidi"/>
                <w:sz w:val="20"/>
                <w:szCs w:val="20"/>
              </w:rPr>
            </w:pPr>
            <w:r>
              <w:rPr>
                <w:rFonts w:asciiTheme="majorBidi" w:hAnsiTheme="majorBidi" w:cstheme="majorBidi"/>
                <w:sz w:val="20"/>
                <w:szCs w:val="20"/>
                <w:rtl/>
              </w:rPr>
              <w:t>13</w:t>
            </w:r>
          </w:p>
        </w:tc>
        <w:tc>
          <w:tcPr>
            <w:tcW w:w="1636" w:type="dxa"/>
            <w:tcBorders>
              <w:top w:val="single" w:color="7E7E7E" w:themeColor="text1" w:themeTint="80" w:sz="4" w:space="0"/>
              <w:bottom w:val="single" w:color="7E7E7E" w:themeColor="text1" w:themeTint="80" w:sz="4" w:space="0"/>
              <w:insideH w:val="single" w:sz="4" w:space="0"/>
            </w:tcBorders>
          </w:tcPr>
          <w:p w14:paraId="7D76CCD9">
            <w:pPr>
              <w:bidi/>
              <w:spacing w:after="0" w:line="360" w:lineRule="auto"/>
              <w:jc w:val="lowKashida"/>
              <w:rPr>
                <w:rFonts w:asciiTheme="majorBidi" w:hAnsiTheme="majorBidi" w:cstheme="majorBidi"/>
                <w:sz w:val="20"/>
                <w:szCs w:val="20"/>
              </w:rPr>
            </w:pPr>
            <w:r>
              <w:rPr>
                <w:rFonts w:asciiTheme="majorBidi" w:hAnsiTheme="majorBidi" w:cstheme="majorBidi"/>
                <w:sz w:val="20"/>
                <w:szCs w:val="20"/>
              </w:rPr>
              <w:t>0.284**</w:t>
            </w:r>
          </w:p>
        </w:tc>
        <w:tc>
          <w:tcPr>
            <w:tcW w:w="985" w:type="dxa"/>
            <w:gridSpan w:val="2"/>
            <w:tcBorders>
              <w:top w:val="single" w:color="7E7E7E" w:themeColor="text1" w:themeTint="80" w:sz="4" w:space="0"/>
              <w:bottom w:val="single" w:color="7E7E7E" w:themeColor="text1" w:themeTint="80" w:sz="4" w:space="0"/>
              <w:insideH w:val="single" w:sz="4" w:space="0"/>
            </w:tcBorders>
          </w:tcPr>
          <w:p w14:paraId="519D9B7D">
            <w:pPr>
              <w:bidi/>
              <w:spacing w:after="0" w:line="360" w:lineRule="auto"/>
              <w:jc w:val="lowKashida"/>
              <w:rPr>
                <w:rFonts w:asciiTheme="majorBidi" w:hAnsiTheme="majorBidi" w:cstheme="majorBidi"/>
                <w:sz w:val="20"/>
                <w:szCs w:val="20"/>
              </w:rPr>
            </w:pPr>
            <w:r>
              <w:rPr>
                <w:rFonts w:asciiTheme="majorBidi" w:hAnsiTheme="majorBidi" w:cstheme="majorBidi"/>
                <w:sz w:val="20"/>
                <w:szCs w:val="20"/>
                <w:rtl/>
              </w:rPr>
              <w:t>19</w:t>
            </w:r>
          </w:p>
        </w:tc>
        <w:tc>
          <w:tcPr>
            <w:tcW w:w="1701" w:type="dxa"/>
            <w:tcBorders>
              <w:top w:val="single" w:color="7E7E7E" w:themeColor="text1" w:themeTint="80" w:sz="4" w:space="0"/>
              <w:bottom w:val="single" w:color="7E7E7E" w:themeColor="text1" w:themeTint="80" w:sz="4" w:space="0"/>
              <w:insideH w:val="single" w:sz="4" w:space="0"/>
            </w:tcBorders>
          </w:tcPr>
          <w:p w14:paraId="2662F197">
            <w:pPr>
              <w:bidi/>
              <w:spacing w:after="0" w:line="360" w:lineRule="auto"/>
              <w:jc w:val="lowKashida"/>
              <w:rPr>
                <w:rFonts w:asciiTheme="majorBidi" w:hAnsiTheme="majorBidi" w:cstheme="majorBidi"/>
                <w:sz w:val="20"/>
                <w:szCs w:val="20"/>
              </w:rPr>
            </w:pPr>
            <w:r>
              <w:rPr>
                <w:rFonts w:asciiTheme="majorBidi" w:hAnsiTheme="majorBidi" w:cstheme="majorBidi"/>
                <w:sz w:val="20"/>
                <w:szCs w:val="20"/>
              </w:rPr>
              <w:t>0.222**</w:t>
            </w:r>
          </w:p>
        </w:tc>
      </w:tr>
      <w:tr w14:paraId="5E1C5FF6">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 w:hRule="atLeast"/>
        </w:trPr>
        <w:tc>
          <w:tcPr>
            <w:tcW w:w="625" w:type="dxa"/>
          </w:tcPr>
          <w:p w14:paraId="34B2A3AA">
            <w:pPr>
              <w:bidi/>
              <w:spacing w:after="0" w:line="360" w:lineRule="auto"/>
              <w:jc w:val="lowKashida"/>
              <w:rPr>
                <w:rFonts w:asciiTheme="majorBidi" w:hAnsiTheme="majorBidi" w:cstheme="majorBidi"/>
                <w:b w:val="0"/>
                <w:bCs w:val="0"/>
                <w:sz w:val="20"/>
                <w:szCs w:val="20"/>
              </w:rPr>
            </w:pPr>
            <w:r>
              <w:rPr>
                <w:rFonts w:asciiTheme="majorBidi" w:hAnsiTheme="majorBidi" w:cstheme="majorBidi"/>
                <w:b w:val="0"/>
                <w:bCs w:val="0"/>
                <w:sz w:val="20"/>
                <w:szCs w:val="20"/>
              </w:rPr>
              <w:t>2</w:t>
            </w:r>
          </w:p>
        </w:tc>
        <w:tc>
          <w:tcPr>
            <w:tcW w:w="1385" w:type="dxa"/>
          </w:tcPr>
          <w:p w14:paraId="443D74F1">
            <w:pPr>
              <w:bidi/>
              <w:spacing w:after="0" w:line="360" w:lineRule="auto"/>
              <w:jc w:val="lowKashida"/>
              <w:rPr>
                <w:rFonts w:asciiTheme="majorBidi" w:hAnsiTheme="majorBidi" w:cstheme="majorBidi"/>
                <w:sz w:val="20"/>
                <w:szCs w:val="20"/>
              </w:rPr>
            </w:pPr>
            <w:r>
              <w:rPr>
                <w:rFonts w:asciiTheme="majorBidi" w:hAnsiTheme="majorBidi" w:cstheme="majorBidi"/>
                <w:sz w:val="20"/>
                <w:szCs w:val="20"/>
              </w:rPr>
              <w:t>0.242**</w:t>
            </w:r>
          </w:p>
        </w:tc>
        <w:tc>
          <w:tcPr>
            <w:tcW w:w="819" w:type="dxa"/>
          </w:tcPr>
          <w:p w14:paraId="04BC26A2">
            <w:pPr>
              <w:bidi/>
              <w:spacing w:after="0" w:line="360" w:lineRule="auto"/>
              <w:jc w:val="lowKashida"/>
              <w:rPr>
                <w:rFonts w:asciiTheme="majorBidi" w:hAnsiTheme="majorBidi" w:cstheme="majorBidi"/>
                <w:sz w:val="20"/>
                <w:szCs w:val="20"/>
              </w:rPr>
            </w:pPr>
            <w:r>
              <w:rPr>
                <w:rFonts w:asciiTheme="majorBidi" w:hAnsiTheme="majorBidi" w:cstheme="majorBidi"/>
                <w:sz w:val="20"/>
                <w:szCs w:val="20"/>
                <w:rtl/>
              </w:rPr>
              <w:t>8</w:t>
            </w:r>
          </w:p>
        </w:tc>
        <w:tc>
          <w:tcPr>
            <w:tcW w:w="1544" w:type="dxa"/>
          </w:tcPr>
          <w:p w14:paraId="4122C99A">
            <w:pPr>
              <w:bidi/>
              <w:spacing w:after="0" w:line="360" w:lineRule="auto"/>
              <w:jc w:val="lowKashida"/>
              <w:rPr>
                <w:rFonts w:asciiTheme="majorBidi" w:hAnsiTheme="majorBidi" w:cstheme="majorBidi"/>
                <w:sz w:val="20"/>
                <w:szCs w:val="20"/>
              </w:rPr>
            </w:pPr>
            <w:r>
              <w:rPr>
                <w:rFonts w:asciiTheme="majorBidi" w:hAnsiTheme="majorBidi" w:cstheme="majorBidi"/>
                <w:sz w:val="20"/>
                <w:szCs w:val="20"/>
              </w:rPr>
              <w:t>0.362**</w:t>
            </w:r>
          </w:p>
        </w:tc>
        <w:tc>
          <w:tcPr>
            <w:tcW w:w="611" w:type="dxa"/>
          </w:tcPr>
          <w:p w14:paraId="6E9CEDFD">
            <w:pPr>
              <w:bidi/>
              <w:spacing w:after="0" w:line="360" w:lineRule="auto"/>
              <w:jc w:val="lowKashida"/>
              <w:rPr>
                <w:rFonts w:asciiTheme="majorBidi" w:hAnsiTheme="majorBidi" w:cstheme="majorBidi"/>
                <w:sz w:val="20"/>
                <w:szCs w:val="20"/>
              </w:rPr>
            </w:pPr>
            <w:r>
              <w:rPr>
                <w:rFonts w:asciiTheme="majorBidi" w:hAnsiTheme="majorBidi" w:cstheme="majorBidi"/>
                <w:sz w:val="20"/>
                <w:szCs w:val="20"/>
                <w:rtl/>
              </w:rPr>
              <w:t>14</w:t>
            </w:r>
          </w:p>
        </w:tc>
        <w:tc>
          <w:tcPr>
            <w:tcW w:w="1650" w:type="dxa"/>
            <w:gridSpan w:val="2"/>
          </w:tcPr>
          <w:p w14:paraId="1562E2F9">
            <w:pPr>
              <w:bidi/>
              <w:spacing w:after="0" w:line="360" w:lineRule="auto"/>
              <w:jc w:val="lowKashida"/>
              <w:rPr>
                <w:rFonts w:asciiTheme="majorBidi" w:hAnsiTheme="majorBidi" w:cstheme="majorBidi"/>
                <w:sz w:val="20"/>
                <w:szCs w:val="20"/>
              </w:rPr>
            </w:pPr>
            <w:r>
              <w:rPr>
                <w:rFonts w:asciiTheme="majorBidi" w:hAnsiTheme="majorBidi" w:cstheme="majorBidi"/>
                <w:sz w:val="20"/>
                <w:szCs w:val="20"/>
              </w:rPr>
              <w:t>0.327**</w:t>
            </w:r>
          </w:p>
        </w:tc>
        <w:tc>
          <w:tcPr>
            <w:tcW w:w="971" w:type="dxa"/>
          </w:tcPr>
          <w:p w14:paraId="0DAA18D7">
            <w:pPr>
              <w:bidi/>
              <w:spacing w:after="0" w:line="360" w:lineRule="auto"/>
              <w:jc w:val="lowKashida"/>
              <w:rPr>
                <w:rFonts w:asciiTheme="majorBidi" w:hAnsiTheme="majorBidi" w:cstheme="majorBidi"/>
                <w:sz w:val="20"/>
                <w:szCs w:val="20"/>
              </w:rPr>
            </w:pPr>
            <w:r>
              <w:rPr>
                <w:rFonts w:asciiTheme="majorBidi" w:hAnsiTheme="majorBidi" w:cstheme="majorBidi"/>
                <w:sz w:val="20"/>
                <w:szCs w:val="20"/>
                <w:rtl/>
              </w:rPr>
              <w:t>20</w:t>
            </w:r>
          </w:p>
        </w:tc>
        <w:tc>
          <w:tcPr>
            <w:tcW w:w="1701" w:type="dxa"/>
          </w:tcPr>
          <w:p w14:paraId="5187B44A">
            <w:pPr>
              <w:bidi/>
              <w:spacing w:after="0" w:line="360" w:lineRule="auto"/>
              <w:jc w:val="lowKashida"/>
              <w:rPr>
                <w:rFonts w:asciiTheme="majorBidi" w:hAnsiTheme="majorBidi" w:cstheme="majorBidi"/>
                <w:sz w:val="20"/>
                <w:szCs w:val="20"/>
              </w:rPr>
            </w:pPr>
            <w:r>
              <w:rPr>
                <w:rFonts w:asciiTheme="majorBidi" w:hAnsiTheme="majorBidi" w:cstheme="majorBidi"/>
                <w:sz w:val="20"/>
                <w:szCs w:val="20"/>
              </w:rPr>
              <w:t>0.328**</w:t>
            </w:r>
          </w:p>
        </w:tc>
      </w:tr>
      <w:tr w14:paraId="435FE425">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 w:hRule="atLeast"/>
        </w:trPr>
        <w:tc>
          <w:tcPr>
            <w:tcW w:w="625" w:type="dxa"/>
            <w:tcBorders>
              <w:top w:val="single" w:color="7E7E7E" w:themeColor="text1" w:themeTint="80" w:sz="4" w:space="0"/>
              <w:bottom w:val="single" w:color="7E7E7E" w:themeColor="text1" w:themeTint="80" w:sz="4" w:space="0"/>
              <w:insideH w:val="single" w:sz="4" w:space="0"/>
            </w:tcBorders>
          </w:tcPr>
          <w:p w14:paraId="019A3B7C">
            <w:pPr>
              <w:bidi/>
              <w:spacing w:after="0" w:line="360" w:lineRule="auto"/>
              <w:jc w:val="lowKashida"/>
              <w:rPr>
                <w:rFonts w:asciiTheme="majorBidi" w:hAnsiTheme="majorBidi" w:cstheme="majorBidi"/>
                <w:b w:val="0"/>
                <w:bCs w:val="0"/>
                <w:sz w:val="20"/>
                <w:szCs w:val="20"/>
              </w:rPr>
            </w:pPr>
            <w:r>
              <w:rPr>
                <w:rFonts w:asciiTheme="majorBidi" w:hAnsiTheme="majorBidi" w:cstheme="majorBidi"/>
                <w:b w:val="0"/>
                <w:bCs w:val="0"/>
                <w:sz w:val="20"/>
                <w:szCs w:val="20"/>
              </w:rPr>
              <w:t>3</w:t>
            </w:r>
          </w:p>
        </w:tc>
        <w:tc>
          <w:tcPr>
            <w:tcW w:w="1385" w:type="dxa"/>
            <w:tcBorders>
              <w:top w:val="single" w:color="7E7E7E" w:themeColor="text1" w:themeTint="80" w:sz="4" w:space="0"/>
              <w:bottom w:val="single" w:color="7E7E7E" w:themeColor="text1" w:themeTint="80" w:sz="4" w:space="0"/>
              <w:insideH w:val="single" w:sz="4" w:space="0"/>
            </w:tcBorders>
          </w:tcPr>
          <w:p w14:paraId="14E8B2BB">
            <w:pPr>
              <w:bidi/>
              <w:spacing w:after="0" w:line="360" w:lineRule="auto"/>
              <w:jc w:val="lowKashida"/>
              <w:rPr>
                <w:rFonts w:asciiTheme="majorBidi" w:hAnsiTheme="majorBidi" w:cstheme="majorBidi"/>
                <w:sz w:val="20"/>
                <w:szCs w:val="20"/>
              </w:rPr>
            </w:pPr>
            <w:r>
              <w:rPr>
                <w:rFonts w:asciiTheme="majorBidi" w:hAnsiTheme="majorBidi" w:cstheme="majorBidi"/>
                <w:sz w:val="20"/>
                <w:szCs w:val="20"/>
              </w:rPr>
              <w:t>0.564**</w:t>
            </w:r>
          </w:p>
        </w:tc>
        <w:tc>
          <w:tcPr>
            <w:tcW w:w="819" w:type="dxa"/>
            <w:tcBorders>
              <w:top w:val="single" w:color="7E7E7E" w:themeColor="text1" w:themeTint="80" w:sz="4" w:space="0"/>
              <w:bottom w:val="single" w:color="7E7E7E" w:themeColor="text1" w:themeTint="80" w:sz="4" w:space="0"/>
              <w:insideH w:val="single" w:sz="4" w:space="0"/>
            </w:tcBorders>
          </w:tcPr>
          <w:p w14:paraId="3E1D69A1">
            <w:pPr>
              <w:bidi/>
              <w:spacing w:after="0" w:line="360" w:lineRule="auto"/>
              <w:jc w:val="lowKashida"/>
              <w:rPr>
                <w:rFonts w:asciiTheme="majorBidi" w:hAnsiTheme="majorBidi" w:cstheme="majorBidi"/>
                <w:sz w:val="20"/>
                <w:szCs w:val="20"/>
              </w:rPr>
            </w:pPr>
            <w:r>
              <w:rPr>
                <w:rFonts w:asciiTheme="majorBidi" w:hAnsiTheme="majorBidi" w:cstheme="majorBidi"/>
                <w:sz w:val="20"/>
                <w:szCs w:val="20"/>
                <w:rtl/>
              </w:rPr>
              <w:t>9</w:t>
            </w:r>
          </w:p>
        </w:tc>
        <w:tc>
          <w:tcPr>
            <w:tcW w:w="1544" w:type="dxa"/>
            <w:tcBorders>
              <w:top w:val="single" w:color="7E7E7E" w:themeColor="text1" w:themeTint="80" w:sz="4" w:space="0"/>
              <w:bottom w:val="single" w:color="7E7E7E" w:themeColor="text1" w:themeTint="80" w:sz="4" w:space="0"/>
              <w:insideH w:val="single" w:sz="4" w:space="0"/>
            </w:tcBorders>
          </w:tcPr>
          <w:p w14:paraId="096A2596">
            <w:pPr>
              <w:bidi/>
              <w:spacing w:after="0" w:line="360" w:lineRule="auto"/>
              <w:jc w:val="lowKashida"/>
              <w:rPr>
                <w:rFonts w:asciiTheme="majorBidi" w:hAnsiTheme="majorBidi" w:cstheme="majorBidi"/>
                <w:sz w:val="20"/>
                <w:szCs w:val="20"/>
              </w:rPr>
            </w:pPr>
            <w:r>
              <w:rPr>
                <w:rFonts w:asciiTheme="majorBidi" w:hAnsiTheme="majorBidi" w:cstheme="majorBidi"/>
                <w:sz w:val="20"/>
                <w:szCs w:val="20"/>
              </w:rPr>
              <w:t>0.476**</w:t>
            </w:r>
          </w:p>
        </w:tc>
        <w:tc>
          <w:tcPr>
            <w:tcW w:w="611" w:type="dxa"/>
            <w:tcBorders>
              <w:top w:val="single" w:color="7E7E7E" w:themeColor="text1" w:themeTint="80" w:sz="4" w:space="0"/>
              <w:bottom w:val="single" w:color="7E7E7E" w:themeColor="text1" w:themeTint="80" w:sz="4" w:space="0"/>
              <w:insideH w:val="single" w:sz="4" w:space="0"/>
            </w:tcBorders>
          </w:tcPr>
          <w:p w14:paraId="4830B06D">
            <w:pPr>
              <w:bidi/>
              <w:spacing w:after="0" w:line="360" w:lineRule="auto"/>
              <w:jc w:val="lowKashida"/>
              <w:rPr>
                <w:rFonts w:asciiTheme="majorBidi" w:hAnsiTheme="majorBidi" w:cstheme="majorBidi"/>
                <w:sz w:val="20"/>
                <w:szCs w:val="20"/>
              </w:rPr>
            </w:pPr>
            <w:r>
              <w:rPr>
                <w:rFonts w:asciiTheme="majorBidi" w:hAnsiTheme="majorBidi" w:cstheme="majorBidi"/>
                <w:sz w:val="20"/>
                <w:szCs w:val="20"/>
                <w:rtl/>
              </w:rPr>
              <w:t>15</w:t>
            </w:r>
          </w:p>
        </w:tc>
        <w:tc>
          <w:tcPr>
            <w:tcW w:w="1636" w:type="dxa"/>
            <w:tcBorders>
              <w:top w:val="single" w:color="7E7E7E" w:themeColor="text1" w:themeTint="80" w:sz="4" w:space="0"/>
              <w:bottom w:val="single" w:color="7E7E7E" w:themeColor="text1" w:themeTint="80" w:sz="4" w:space="0"/>
              <w:insideH w:val="single" w:sz="4" w:space="0"/>
            </w:tcBorders>
          </w:tcPr>
          <w:p w14:paraId="0EED23A3">
            <w:pPr>
              <w:bidi/>
              <w:spacing w:after="0" w:line="360" w:lineRule="auto"/>
              <w:jc w:val="lowKashida"/>
              <w:rPr>
                <w:rFonts w:asciiTheme="majorBidi" w:hAnsiTheme="majorBidi" w:cstheme="majorBidi"/>
                <w:sz w:val="20"/>
                <w:szCs w:val="20"/>
              </w:rPr>
            </w:pPr>
            <w:r>
              <w:rPr>
                <w:rFonts w:asciiTheme="majorBidi" w:hAnsiTheme="majorBidi" w:cstheme="majorBidi"/>
                <w:sz w:val="20"/>
                <w:szCs w:val="20"/>
              </w:rPr>
              <w:t>0.216**</w:t>
            </w:r>
          </w:p>
        </w:tc>
        <w:tc>
          <w:tcPr>
            <w:tcW w:w="985" w:type="dxa"/>
            <w:gridSpan w:val="2"/>
            <w:tcBorders>
              <w:top w:val="single" w:color="7E7E7E" w:themeColor="text1" w:themeTint="80" w:sz="4" w:space="0"/>
              <w:bottom w:val="single" w:color="7E7E7E" w:themeColor="text1" w:themeTint="80" w:sz="4" w:space="0"/>
              <w:insideH w:val="single" w:sz="4" w:space="0"/>
            </w:tcBorders>
          </w:tcPr>
          <w:p w14:paraId="3A7CD61E">
            <w:pPr>
              <w:bidi/>
              <w:spacing w:after="0" w:line="360" w:lineRule="auto"/>
              <w:jc w:val="lowKashida"/>
              <w:rPr>
                <w:rFonts w:asciiTheme="majorBidi" w:hAnsiTheme="majorBidi" w:cstheme="majorBidi"/>
                <w:sz w:val="20"/>
                <w:szCs w:val="20"/>
              </w:rPr>
            </w:pPr>
            <w:r>
              <w:rPr>
                <w:rFonts w:asciiTheme="majorBidi" w:hAnsiTheme="majorBidi" w:cstheme="majorBidi"/>
                <w:sz w:val="20"/>
                <w:szCs w:val="20"/>
                <w:rtl/>
              </w:rPr>
              <w:t>21</w:t>
            </w:r>
          </w:p>
        </w:tc>
        <w:tc>
          <w:tcPr>
            <w:tcW w:w="1701" w:type="dxa"/>
            <w:tcBorders>
              <w:top w:val="single" w:color="7E7E7E" w:themeColor="text1" w:themeTint="80" w:sz="4" w:space="0"/>
              <w:bottom w:val="single" w:color="7E7E7E" w:themeColor="text1" w:themeTint="80" w:sz="4" w:space="0"/>
              <w:insideH w:val="single" w:sz="4" w:space="0"/>
            </w:tcBorders>
          </w:tcPr>
          <w:p w14:paraId="622F15B0">
            <w:pPr>
              <w:bidi/>
              <w:spacing w:after="0" w:line="360" w:lineRule="auto"/>
              <w:jc w:val="lowKashida"/>
              <w:rPr>
                <w:rFonts w:asciiTheme="majorBidi" w:hAnsiTheme="majorBidi" w:cstheme="majorBidi"/>
                <w:sz w:val="20"/>
                <w:szCs w:val="20"/>
              </w:rPr>
            </w:pPr>
            <w:r>
              <w:rPr>
                <w:rFonts w:asciiTheme="majorBidi" w:hAnsiTheme="majorBidi" w:cstheme="majorBidi"/>
                <w:sz w:val="20"/>
                <w:szCs w:val="20"/>
              </w:rPr>
              <w:t>0.469**</w:t>
            </w:r>
          </w:p>
        </w:tc>
      </w:tr>
      <w:tr w14:paraId="13586A2E">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 w:hRule="atLeast"/>
        </w:trPr>
        <w:tc>
          <w:tcPr>
            <w:tcW w:w="625" w:type="dxa"/>
          </w:tcPr>
          <w:p w14:paraId="50C025CC">
            <w:pPr>
              <w:bidi/>
              <w:spacing w:after="0" w:line="360" w:lineRule="auto"/>
              <w:jc w:val="lowKashida"/>
              <w:rPr>
                <w:rFonts w:asciiTheme="majorBidi" w:hAnsiTheme="majorBidi" w:cstheme="majorBidi"/>
                <w:b w:val="0"/>
                <w:bCs w:val="0"/>
                <w:sz w:val="20"/>
                <w:szCs w:val="20"/>
              </w:rPr>
            </w:pPr>
            <w:r>
              <w:rPr>
                <w:rFonts w:asciiTheme="majorBidi" w:hAnsiTheme="majorBidi" w:cstheme="majorBidi"/>
                <w:b w:val="0"/>
                <w:bCs w:val="0"/>
                <w:sz w:val="20"/>
                <w:szCs w:val="20"/>
              </w:rPr>
              <w:t>4</w:t>
            </w:r>
          </w:p>
        </w:tc>
        <w:tc>
          <w:tcPr>
            <w:tcW w:w="1385" w:type="dxa"/>
          </w:tcPr>
          <w:p w14:paraId="7676F273">
            <w:pPr>
              <w:bidi/>
              <w:spacing w:after="0" w:line="360" w:lineRule="auto"/>
              <w:jc w:val="lowKashida"/>
              <w:rPr>
                <w:rFonts w:asciiTheme="majorBidi" w:hAnsiTheme="majorBidi" w:cstheme="majorBidi"/>
                <w:sz w:val="20"/>
                <w:szCs w:val="20"/>
              </w:rPr>
            </w:pPr>
            <w:r>
              <w:rPr>
                <w:rFonts w:asciiTheme="majorBidi" w:hAnsiTheme="majorBidi" w:cstheme="majorBidi"/>
                <w:sz w:val="20"/>
                <w:szCs w:val="20"/>
              </w:rPr>
              <w:t>0.346**</w:t>
            </w:r>
          </w:p>
        </w:tc>
        <w:tc>
          <w:tcPr>
            <w:tcW w:w="819" w:type="dxa"/>
          </w:tcPr>
          <w:p w14:paraId="4C4022D5">
            <w:pPr>
              <w:bidi/>
              <w:spacing w:after="0" w:line="360" w:lineRule="auto"/>
              <w:jc w:val="lowKashida"/>
              <w:rPr>
                <w:rFonts w:asciiTheme="majorBidi" w:hAnsiTheme="majorBidi" w:cstheme="majorBidi"/>
                <w:sz w:val="20"/>
                <w:szCs w:val="20"/>
              </w:rPr>
            </w:pPr>
            <w:r>
              <w:rPr>
                <w:rFonts w:asciiTheme="majorBidi" w:hAnsiTheme="majorBidi" w:cstheme="majorBidi"/>
                <w:sz w:val="20"/>
                <w:szCs w:val="20"/>
                <w:rtl/>
              </w:rPr>
              <w:t>10</w:t>
            </w:r>
          </w:p>
        </w:tc>
        <w:tc>
          <w:tcPr>
            <w:tcW w:w="1544" w:type="dxa"/>
          </w:tcPr>
          <w:p w14:paraId="5385255C">
            <w:pPr>
              <w:bidi/>
              <w:spacing w:after="0" w:line="360" w:lineRule="auto"/>
              <w:jc w:val="lowKashida"/>
              <w:rPr>
                <w:rFonts w:asciiTheme="majorBidi" w:hAnsiTheme="majorBidi" w:cstheme="majorBidi"/>
                <w:sz w:val="20"/>
                <w:szCs w:val="20"/>
              </w:rPr>
            </w:pPr>
            <w:r>
              <w:rPr>
                <w:rFonts w:asciiTheme="majorBidi" w:hAnsiTheme="majorBidi" w:cstheme="majorBidi"/>
                <w:sz w:val="20"/>
                <w:szCs w:val="20"/>
              </w:rPr>
              <w:t>0.232**</w:t>
            </w:r>
          </w:p>
        </w:tc>
        <w:tc>
          <w:tcPr>
            <w:tcW w:w="611" w:type="dxa"/>
          </w:tcPr>
          <w:p w14:paraId="35F72E69">
            <w:pPr>
              <w:bidi/>
              <w:spacing w:after="0" w:line="360" w:lineRule="auto"/>
              <w:jc w:val="lowKashida"/>
              <w:rPr>
                <w:rFonts w:asciiTheme="majorBidi" w:hAnsiTheme="majorBidi" w:cstheme="majorBidi"/>
                <w:sz w:val="20"/>
                <w:szCs w:val="20"/>
              </w:rPr>
            </w:pPr>
            <w:r>
              <w:rPr>
                <w:rFonts w:asciiTheme="majorBidi" w:hAnsiTheme="majorBidi" w:cstheme="majorBidi"/>
                <w:sz w:val="20"/>
                <w:szCs w:val="20"/>
                <w:rtl/>
              </w:rPr>
              <w:t>16</w:t>
            </w:r>
          </w:p>
        </w:tc>
        <w:tc>
          <w:tcPr>
            <w:tcW w:w="1636" w:type="dxa"/>
          </w:tcPr>
          <w:p w14:paraId="66BC52E0">
            <w:pPr>
              <w:bidi/>
              <w:spacing w:after="0" w:line="360" w:lineRule="auto"/>
              <w:jc w:val="lowKashida"/>
              <w:rPr>
                <w:rFonts w:asciiTheme="majorBidi" w:hAnsiTheme="majorBidi" w:cstheme="majorBidi"/>
                <w:sz w:val="20"/>
                <w:szCs w:val="20"/>
              </w:rPr>
            </w:pPr>
            <w:r>
              <w:rPr>
                <w:rFonts w:asciiTheme="majorBidi" w:hAnsiTheme="majorBidi" w:cstheme="majorBidi"/>
                <w:sz w:val="20"/>
                <w:szCs w:val="20"/>
              </w:rPr>
              <w:t>0.247**</w:t>
            </w:r>
          </w:p>
        </w:tc>
        <w:tc>
          <w:tcPr>
            <w:tcW w:w="985" w:type="dxa"/>
            <w:gridSpan w:val="2"/>
          </w:tcPr>
          <w:p w14:paraId="61C44852">
            <w:pPr>
              <w:bidi/>
              <w:spacing w:after="0" w:line="360" w:lineRule="auto"/>
              <w:jc w:val="lowKashida"/>
              <w:rPr>
                <w:rFonts w:asciiTheme="majorBidi" w:hAnsiTheme="majorBidi" w:cstheme="majorBidi"/>
                <w:sz w:val="20"/>
                <w:szCs w:val="20"/>
              </w:rPr>
            </w:pPr>
            <w:r>
              <w:rPr>
                <w:rFonts w:asciiTheme="majorBidi" w:hAnsiTheme="majorBidi" w:cstheme="majorBidi"/>
                <w:sz w:val="20"/>
                <w:szCs w:val="20"/>
                <w:rtl/>
              </w:rPr>
              <w:t>22</w:t>
            </w:r>
          </w:p>
        </w:tc>
        <w:tc>
          <w:tcPr>
            <w:tcW w:w="1701" w:type="dxa"/>
          </w:tcPr>
          <w:p w14:paraId="42174FAD">
            <w:pPr>
              <w:bidi/>
              <w:spacing w:after="0" w:line="360" w:lineRule="auto"/>
              <w:jc w:val="lowKashida"/>
              <w:rPr>
                <w:rFonts w:asciiTheme="majorBidi" w:hAnsiTheme="majorBidi" w:cstheme="majorBidi"/>
                <w:sz w:val="20"/>
                <w:szCs w:val="20"/>
              </w:rPr>
            </w:pPr>
            <w:r>
              <w:rPr>
                <w:rFonts w:asciiTheme="majorBidi" w:hAnsiTheme="majorBidi" w:cstheme="majorBidi"/>
                <w:sz w:val="20"/>
                <w:szCs w:val="20"/>
              </w:rPr>
              <w:t>0.547**</w:t>
            </w:r>
          </w:p>
        </w:tc>
      </w:tr>
      <w:tr w14:paraId="5867E934">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5" w:hRule="atLeast"/>
        </w:trPr>
        <w:tc>
          <w:tcPr>
            <w:tcW w:w="625" w:type="dxa"/>
            <w:tcBorders>
              <w:top w:val="single" w:color="7E7E7E" w:themeColor="text1" w:themeTint="80" w:sz="4" w:space="0"/>
              <w:bottom w:val="single" w:color="7E7E7E" w:themeColor="text1" w:themeTint="80" w:sz="4" w:space="0"/>
              <w:insideH w:val="single" w:sz="4" w:space="0"/>
            </w:tcBorders>
          </w:tcPr>
          <w:p w14:paraId="41EE2161">
            <w:pPr>
              <w:bidi/>
              <w:spacing w:after="0" w:line="360" w:lineRule="auto"/>
              <w:jc w:val="lowKashida"/>
              <w:rPr>
                <w:rFonts w:asciiTheme="majorBidi" w:hAnsiTheme="majorBidi" w:cstheme="majorBidi"/>
                <w:b w:val="0"/>
                <w:bCs w:val="0"/>
                <w:sz w:val="20"/>
                <w:szCs w:val="20"/>
              </w:rPr>
            </w:pPr>
            <w:r>
              <w:rPr>
                <w:rFonts w:asciiTheme="majorBidi" w:hAnsiTheme="majorBidi" w:cstheme="majorBidi"/>
                <w:b w:val="0"/>
                <w:bCs w:val="0"/>
                <w:sz w:val="20"/>
                <w:szCs w:val="20"/>
              </w:rPr>
              <w:t>5</w:t>
            </w:r>
          </w:p>
        </w:tc>
        <w:tc>
          <w:tcPr>
            <w:tcW w:w="1385" w:type="dxa"/>
            <w:tcBorders>
              <w:top w:val="single" w:color="7E7E7E" w:themeColor="text1" w:themeTint="80" w:sz="4" w:space="0"/>
              <w:bottom w:val="single" w:color="7E7E7E" w:themeColor="text1" w:themeTint="80" w:sz="4" w:space="0"/>
              <w:insideH w:val="single" w:sz="4" w:space="0"/>
            </w:tcBorders>
          </w:tcPr>
          <w:p w14:paraId="678368B1">
            <w:pPr>
              <w:bidi/>
              <w:spacing w:after="0" w:line="360" w:lineRule="auto"/>
              <w:jc w:val="lowKashida"/>
              <w:rPr>
                <w:rFonts w:asciiTheme="majorBidi" w:hAnsiTheme="majorBidi" w:cstheme="majorBidi"/>
                <w:sz w:val="20"/>
                <w:szCs w:val="20"/>
              </w:rPr>
            </w:pPr>
            <w:r>
              <w:rPr>
                <w:rFonts w:asciiTheme="majorBidi" w:hAnsiTheme="majorBidi" w:cstheme="majorBidi"/>
                <w:sz w:val="20"/>
                <w:szCs w:val="20"/>
              </w:rPr>
              <w:t>0.420**</w:t>
            </w:r>
          </w:p>
        </w:tc>
        <w:tc>
          <w:tcPr>
            <w:tcW w:w="819" w:type="dxa"/>
            <w:tcBorders>
              <w:top w:val="single" w:color="7E7E7E" w:themeColor="text1" w:themeTint="80" w:sz="4" w:space="0"/>
              <w:bottom w:val="single" w:color="7E7E7E" w:themeColor="text1" w:themeTint="80" w:sz="4" w:space="0"/>
              <w:insideH w:val="single" w:sz="4" w:space="0"/>
            </w:tcBorders>
          </w:tcPr>
          <w:p w14:paraId="37544211">
            <w:pPr>
              <w:bidi/>
              <w:spacing w:after="0" w:line="360" w:lineRule="auto"/>
              <w:jc w:val="lowKashida"/>
              <w:rPr>
                <w:rFonts w:asciiTheme="majorBidi" w:hAnsiTheme="majorBidi" w:cstheme="majorBidi"/>
                <w:sz w:val="20"/>
                <w:szCs w:val="20"/>
              </w:rPr>
            </w:pPr>
            <w:r>
              <w:rPr>
                <w:rFonts w:asciiTheme="majorBidi" w:hAnsiTheme="majorBidi" w:cstheme="majorBidi"/>
                <w:sz w:val="20"/>
                <w:szCs w:val="20"/>
                <w:rtl/>
              </w:rPr>
              <w:t>11</w:t>
            </w:r>
          </w:p>
        </w:tc>
        <w:tc>
          <w:tcPr>
            <w:tcW w:w="1544" w:type="dxa"/>
            <w:tcBorders>
              <w:top w:val="single" w:color="7E7E7E" w:themeColor="text1" w:themeTint="80" w:sz="4" w:space="0"/>
              <w:bottom w:val="single" w:color="7E7E7E" w:themeColor="text1" w:themeTint="80" w:sz="4" w:space="0"/>
              <w:insideH w:val="single" w:sz="4" w:space="0"/>
            </w:tcBorders>
          </w:tcPr>
          <w:p w14:paraId="36775201">
            <w:pPr>
              <w:bidi/>
              <w:spacing w:after="0" w:line="360" w:lineRule="auto"/>
              <w:jc w:val="lowKashida"/>
              <w:rPr>
                <w:rFonts w:asciiTheme="majorBidi" w:hAnsiTheme="majorBidi" w:cstheme="majorBidi"/>
                <w:sz w:val="20"/>
                <w:szCs w:val="20"/>
              </w:rPr>
            </w:pPr>
            <w:r>
              <w:rPr>
                <w:rFonts w:asciiTheme="majorBidi" w:hAnsiTheme="majorBidi" w:cstheme="majorBidi"/>
                <w:sz w:val="20"/>
                <w:szCs w:val="20"/>
              </w:rPr>
              <w:t>0.298**</w:t>
            </w:r>
          </w:p>
        </w:tc>
        <w:tc>
          <w:tcPr>
            <w:tcW w:w="611" w:type="dxa"/>
            <w:tcBorders>
              <w:top w:val="single" w:color="7E7E7E" w:themeColor="text1" w:themeTint="80" w:sz="4" w:space="0"/>
              <w:bottom w:val="single" w:color="7E7E7E" w:themeColor="text1" w:themeTint="80" w:sz="4" w:space="0"/>
              <w:insideH w:val="single" w:sz="4" w:space="0"/>
            </w:tcBorders>
          </w:tcPr>
          <w:p w14:paraId="1A91C350">
            <w:pPr>
              <w:bidi/>
              <w:spacing w:after="0" w:line="360" w:lineRule="auto"/>
              <w:jc w:val="lowKashida"/>
              <w:rPr>
                <w:rFonts w:asciiTheme="majorBidi" w:hAnsiTheme="majorBidi" w:cstheme="majorBidi"/>
                <w:sz w:val="20"/>
                <w:szCs w:val="20"/>
              </w:rPr>
            </w:pPr>
            <w:r>
              <w:rPr>
                <w:rFonts w:asciiTheme="majorBidi" w:hAnsiTheme="majorBidi" w:cstheme="majorBidi"/>
                <w:sz w:val="20"/>
                <w:szCs w:val="20"/>
                <w:rtl/>
              </w:rPr>
              <w:t>17</w:t>
            </w:r>
          </w:p>
        </w:tc>
        <w:tc>
          <w:tcPr>
            <w:tcW w:w="1636" w:type="dxa"/>
            <w:tcBorders>
              <w:top w:val="single" w:color="7E7E7E" w:themeColor="text1" w:themeTint="80" w:sz="4" w:space="0"/>
              <w:bottom w:val="single" w:color="7E7E7E" w:themeColor="text1" w:themeTint="80" w:sz="4" w:space="0"/>
              <w:insideH w:val="single" w:sz="4" w:space="0"/>
            </w:tcBorders>
          </w:tcPr>
          <w:p w14:paraId="64FE8A75">
            <w:pPr>
              <w:bidi/>
              <w:spacing w:after="0" w:line="360" w:lineRule="auto"/>
              <w:jc w:val="lowKashida"/>
              <w:rPr>
                <w:rFonts w:asciiTheme="majorBidi" w:hAnsiTheme="majorBidi" w:cstheme="majorBidi"/>
                <w:sz w:val="20"/>
                <w:szCs w:val="20"/>
              </w:rPr>
            </w:pPr>
            <w:r>
              <w:rPr>
                <w:rFonts w:asciiTheme="majorBidi" w:hAnsiTheme="majorBidi" w:cstheme="majorBidi"/>
                <w:sz w:val="20"/>
                <w:szCs w:val="20"/>
              </w:rPr>
              <w:t>0.272**</w:t>
            </w:r>
          </w:p>
        </w:tc>
        <w:tc>
          <w:tcPr>
            <w:tcW w:w="985" w:type="dxa"/>
            <w:gridSpan w:val="2"/>
            <w:tcBorders>
              <w:top w:val="single" w:color="7E7E7E" w:themeColor="text1" w:themeTint="80" w:sz="4" w:space="0"/>
              <w:bottom w:val="single" w:color="7E7E7E" w:themeColor="text1" w:themeTint="80" w:sz="4" w:space="0"/>
              <w:insideH w:val="single" w:sz="4" w:space="0"/>
            </w:tcBorders>
          </w:tcPr>
          <w:p w14:paraId="1412A5C4">
            <w:pPr>
              <w:bidi/>
              <w:spacing w:after="0" w:line="360" w:lineRule="auto"/>
              <w:jc w:val="lowKashida"/>
              <w:rPr>
                <w:rFonts w:asciiTheme="majorBidi" w:hAnsiTheme="majorBidi" w:cstheme="majorBidi"/>
                <w:sz w:val="20"/>
                <w:szCs w:val="20"/>
              </w:rPr>
            </w:pPr>
            <w:r>
              <w:rPr>
                <w:rFonts w:asciiTheme="majorBidi" w:hAnsiTheme="majorBidi" w:cstheme="majorBidi"/>
                <w:sz w:val="20"/>
                <w:szCs w:val="20"/>
                <w:rtl/>
              </w:rPr>
              <w:t>23</w:t>
            </w:r>
          </w:p>
        </w:tc>
        <w:tc>
          <w:tcPr>
            <w:tcW w:w="1701" w:type="dxa"/>
            <w:tcBorders>
              <w:top w:val="single" w:color="7E7E7E" w:themeColor="text1" w:themeTint="80" w:sz="4" w:space="0"/>
              <w:bottom w:val="single" w:color="7E7E7E" w:themeColor="text1" w:themeTint="80" w:sz="4" w:space="0"/>
              <w:insideH w:val="single" w:sz="4" w:space="0"/>
            </w:tcBorders>
          </w:tcPr>
          <w:p w14:paraId="2A6DFBF7">
            <w:pPr>
              <w:bidi/>
              <w:spacing w:after="0" w:line="360" w:lineRule="auto"/>
              <w:jc w:val="lowKashida"/>
              <w:rPr>
                <w:rFonts w:asciiTheme="majorBidi" w:hAnsiTheme="majorBidi" w:cstheme="majorBidi"/>
                <w:sz w:val="20"/>
                <w:szCs w:val="20"/>
              </w:rPr>
            </w:pPr>
            <w:r>
              <w:rPr>
                <w:rFonts w:asciiTheme="majorBidi" w:hAnsiTheme="majorBidi" w:cstheme="majorBidi"/>
                <w:sz w:val="20"/>
                <w:szCs w:val="20"/>
              </w:rPr>
              <w:t>0.372**</w:t>
            </w:r>
          </w:p>
        </w:tc>
      </w:tr>
      <w:tr w14:paraId="06D54F26">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 w:hRule="atLeast"/>
        </w:trPr>
        <w:tc>
          <w:tcPr>
            <w:tcW w:w="625" w:type="dxa"/>
          </w:tcPr>
          <w:p w14:paraId="256A4BC1">
            <w:pPr>
              <w:bidi/>
              <w:spacing w:after="0" w:line="360" w:lineRule="auto"/>
              <w:jc w:val="lowKashida"/>
              <w:rPr>
                <w:rFonts w:asciiTheme="majorBidi" w:hAnsiTheme="majorBidi" w:cstheme="majorBidi"/>
                <w:b w:val="0"/>
                <w:bCs w:val="0"/>
                <w:sz w:val="20"/>
                <w:szCs w:val="20"/>
              </w:rPr>
            </w:pPr>
            <w:r>
              <w:rPr>
                <w:rFonts w:asciiTheme="majorBidi" w:hAnsiTheme="majorBidi" w:cstheme="majorBidi"/>
                <w:b w:val="0"/>
                <w:bCs w:val="0"/>
                <w:sz w:val="20"/>
                <w:szCs w:val="20"/>
              </w:rPr>
              <w:t>6</w:t>
            </w:r>
          </w:p>
        </w:tc>
        <w:tc>
          <w:tcPr>
            <w:tcW w:w="1385" w:type="dxa"/>
          </w:tcPr>
          <w:p w14:paraId="79E8F91C">
            <w:pPr>
              <w:bidi/>
              <w:spacing w:after="0" w:line="360" w:lineRule="auto"/>
              <w:jc w:val="lowKashida"/>
              <w:rPr>
                <w:rFonts w:asciiTheme="majorBidi" w:hAnsiTheme="majorBidi" w:cstheme="majorBidi"/>
                <w:sz w:val="20"/>
                <w:szCs w:val="20"/>
              </w:rPr>
            </w:pPr>
            <w:r>
              <w:rPr>
                <w:rFonts w:asciiTheme="majorBidi" w:hAnsiTheme="majorBidi" w:cstheme="majorBidi"/>
                <w:sz w:val="20"/>
                <w:szCs w:val="20"/>
              </w:rPr>
              <w:t>0.432**</w:t>
            </w:r>
          </w:p>
        </w:tc>
        <w:tc>
          <w:tcPr>
            <w:tcW w:w="819" w:type="dxa"/>
          </w:tcPr>
          <w:p w14:paraId="79A9AABE">
            <w:pPr>
              <w:bidi/>
              <w:spacing w:after="0" w:line="360" w:lineRule="auto"/>
              <w:jc w:val="lowKashida"/>
              <w:rPr>
                <w:rFonts w:asciiTheme="majorBidi" w:hAnsiTheme="majorBidi" w:cstheme="majorBidi"/>
                <w:sz w:val="20"/>
                <w:szCs w:val="20"/>
              </w:rPr>
            </w:pPr>
            <w:r>
              <w:rPr>
                <w:rFonts w:asciiTheme="majorBidi" w:hAnsiTheme="majorBidi" w:cstheme="majorBidi"/>
                <w:sz w:val="20"/>
                <w:szCs w:val="20"/>
                <w:rtl/>
              </w:rPr>
              <w:t>12</w:t>
            </w:r>
          </w:p>
        </w:tc>
        <w:tc>
          <w:tcPr>
            <w:tcW w:w="1544" w:type="dxa"/>
          </w:tcPr>
          <w:p w14:paraId="7D0839B9">
            <w:pPr>
              <w:bidi/>
              <w:spacing w:after="0" w:line="360" w:lineRule="auto"/>
              <w:jc w:val="lowKashida"/>
              <w:rPr>
                <w:rFonts w:asciiTheme="majorBidi" w:hAnsiTheme="majorBidi" w:cstheme="majorBidi"/>
                <w:sz w:val="20"/>
                <w:szCs w:val="20"/>
              </w:rPr>
            </w:pPr>
            <w:r>
              <w:rPr>
                <w:rFonts w:asciiTheme="majorBidi" w:hAnsiTheme="majorBidi" w:cstheme="majorBidi"/>
                <w:sz w:val="20"/>
                <w:szCs w:val="20"/>
              </w:rPr>
              <w:t>0.310**</w:t>
            </w:r>
          </w:p>
        </w:tc>
        <w:tc>
          <w:tcPr>
            <w:tcW w:w="611" w:type="dxa"/>
          </w:tcPr>
          <w:p w14:paraId="3F9B7467">
            <w:pPr>
              <w:bidi/>
              <w:spacing w:after="0" w:line="360" w:lineRule="auto"/>
              <w:jc w:val="lowKashida"/>
              <w:rPr>
                <w:rFonts w:asciiTheme="majorBidi" w:hAnsiTheme="majorBidi" w:cstheme="majorBidi"/>
                <w:sz w:val="20"/>
                <w:szCs w:val="20"/>
              </w:rPr>
            </w:pPr>
            <w:r>
              <w:rPr>
                <w:rFonts w:asciiTheme="majorBidi" w:hAnsiTheme="majorBidi" w:cstheme="majorBidi"/>
                <w:sz w:val="20"/>
                <w:szCs w:val="20"/>
                <w:rtl/>
              </w:rPr>
              <w:t>18</w:t>
            </w:r>
          </w:p>
        </w:tc>
        <w:tc>
          <w:tcPr>
            <w:tcW w:w="1636" w:type="dxa"/>
          </w:tcPr>
          <w:p w14:paraId="49CD798C">
            <w:pPr>
              <w:bidi/>
              <w:spacing w:after="0" w:line="360" w:lineRule="auto"/>
              <w:jc w:val="lowKashida"/>
              <w:rPr>
                <w:rFonts w:asciiTheme="majorBidi" w:hAnsiTheme="majorBidi" w:cstheme="majorBidi"/>
                <w:sz w:val="20"/>
                <w:szCs w:val="20"/>
              </w:rPr>
            </w:pPr>
            <w:r>
              <w:rPr>
                <w:rFonts w:asciiTheme="majorBidi" w:hAnsiTheme="majorBidi" w:cstheme="majorBidi"/>
                <w:sz w:val="20"/>
                <w:szCs w:val="20"/>
              </w:rPr>
              <w:t>0.282**</w:t>
            </w:r>
          </w:p>
        </w:tc>
        <w:tc>
          <w:tcPr>
            <w:tcW w:w="985" w:type="dxa"/>
            <w:gridSpan w:val="2"/>
          </w:tcPr>
          <w:p w14:paraId="6ABCB970">
            <w:pPr>
              <w:bidi/>
              <w:spacing w:after="0" w:line="360" w:lineRule="auto"/>
              <w:jc w:val="lowKashida"/>
              <w:rPr>
                <w:rFonts w:asciiTheme="majorBidi" w:hAnsiTheme="majorBidi" w:cstheme="majorBidi"/>
                <w:sz w:val="20"/>
                <w:szCs w:val="20"/>
              </w:rPr>
            </w:pPr>
            <w:r>
              <w:rPr>
                <w:rFonts w:asciiTheme="majorBidi" w:hAnsiTheme="majorBidi" w:cstheme="majorBidi"/>
                <w:sz w:val="20"/>
                <w:szCs w:val="20"/>
                <w:rtl/>
              </w:rPr>
              <w:t>24</w:t>
            </w:r>
          </w:p>
        </w:tc>
        <w:tc>
          <w:tcPr>
            <w:tcW w:w="1701" w:type="dxa"/>
          </w:tcPr>
          <w:p w14:paraId="6522E5C3">
            <w:pPr>
              <w:bidi/>
              <w:spacing w:after="0" w:line="360" w:lineRule="auto"/>
              <w:jc w:val="lowKashida"/>
              <w:rPr>
                <w:rFonts w:asciiTheme="majorBidi" w:hAnsiTheme="majorBidi" w:cstheme="majorBidi"/>
                <w:sz w:val="20"/>
                <w:szCs w:val="20"/>
              </w:rPr>
            </w:pPr>
            <w:r>
              <w:rPr>
                <w:rFonts w:asciiTheme="majorBidi" w:hAnsiTheme="majorBidi" w:cstheme="majorBidi"/>
                <w:sz w:val="20"/>
                <w:szCs w:val="20"/>
              </w:rPr>
              <w:t>0.252**</w:t>
            </w:r>
          </w:p>
        </w:tc>
      </w:tr>
    </w:tbl>
    <w:p w14:paraId="404A0819">
      <w:pPr>
        <w:pStyle w:val="10"/>
        <w:bidi/>
        <w:spacing w:after="0" w:line="360" w:lineRule="auto"/>
        <w:jc w:val="lowKashida"/>
        <w:rPr>
          <w:rFonts w:asciiTheme="majorBidi" w:hAnsiTheme="majorBidi" w:cstheme="majorBidi"/>
          <w:vertAlign w:val="superscript"/>
        </w:rPr>
      </w:pPr>
      <w:r>
        <w:rPr>
          <w:rFonts w:asciiTheme="majorBidi" w:hAnsiTheme="majorBidi" w:cstheme="majorBidi"/>
          <w:vertAlign w:val="superscript"/>
          <w:rtl/>
        </w:rPr>
        <w:t>**</w:t>
      </w:r>
      <w:r>
        <w:rPr>
          <w:rStyle w:val="6"/>
          <w:rFonts w:asciiTheme="majorBidi" w:hAnsiTheme="majorBidi" w:cstheme="majorBidi"/>
          <w:vertAlign w:val="superscript"/>
          <w:rtl/>
        </w:rPr>
        <w:t>دلالة إحصائية عند مستوى 0.01</w:t>
      </w:r>
    </w:p>
    <w:p w14:paraId="73256FC2">
      <w:pPr>
        <w:pStyle w:val="10"/>
        <w:bidi/>
        <w:spacing w:line="360" w:lineRule="auto"/>
        <w:jc w:val="lowKashida"/>
        <w:rPr>
          <w:rFonts w:asciiTheme="majorBidi" w:hAnsiTheme="majorBidi" w:cstheme="majorBidi"/>
        </w:rPr>
      </w:pPr>
      <w:r>
        <w:rPr>
          <w:rFonts w:asciiTheme="majorBidi" w:hAnsiTheme="majorBidi" w:cstheme="majorBidi"/>
          <w:rtl/>
        </w:rPr>
        <w:t>تعكس هذه النتائج اتساقًا داخليًا للفقرات، مما يؤكد أن مكونات المقياس مترابطة مع المجموع الكلي بشكل جيد، ويُعزز صدق البناء، وبالتالي يسمح باستخدام الأداة بثقة لقياس محو الأمية والوصمة تجاه المرض النفسي في المجتمع الأردني</w:t>
      </w:r>
      <w:r>
        <w:rPr>
          <w:rFonts w:asciiTheme="majorBidi" w:hAnsiTheme="majorBidi" w:cstheme="majorBidi"/>
        </w:rPr>
        <w:t>.</w:t>
      </w:r>
    </w:p>
    <w:p w14:paraId="7E3D6D05">
      <w:pPr>
        <w:pStyle w:val="3"/>
        <w:bidi/>
        <w:spacing w:before="0" w:after="160" w:line="360" w:lineRule="auto"/>
        <w:jc w:val="lowKashida"/>
        <w:rPr>
          <w:rFonts w:asciiTheme="majorBidi" w:hAnsiTheme="majorBidi"/>
          <w:b/>
          <w:bCs/>
          <w:color w:val="auto"/>
          <w:rtl/>
        </w:rPr>
      </w:pPr>
      <w:r>
        <w:rPr>
          <w:rFonts w:asciiTheme="majorBidi" w:hAnsiTheme="majorBidi"/>
          <w:b/>
          <w:bCs/>
          <w:color w:val="auto"/>
          <w:rtl/>
        </w:rPr>
        <w:t>الثبات</w:t>
      </w:r>
    </w:p>
    <w:p w14:paraId="49A3FB51">
      <w:pPr>
        <w:bidi/>
        <w:spacing w:line="360" w:lineRule="auto"/>
        <w:jc w:val="lowKashida"/>
        <w:rPr>
          <w:rFonts w:eastAsia="Times New Roman" w:asciiTheme="majorBidi" w:hAnsiTheme="majorBidi" w:cstheme="majorBidi"/>
          <w:kern w:val="0"/>
          <w:rtl/>
          <w14:ligatures w14:val="none"/>
        </w:rPr>
      </w:pPr>
      <w:r>
        <w:rPr>
          <w:rFonts w:eastAsia="Times New Roman" w:asciiTheme="majorBidi" w:hAnsiTheme="majorBidi" w:cstheme="majorBidi"/>
          <w:kern w:val="0"/>
          <w:rtl/>
          <w14:ligatures w14:val="none"/>
        </w:rPr>
        <w:t xml:space="preserve">تم حساب معامل الاتساق الداخلي (كرونباخ ألفا) لمقياس محو الأمية في مجال الصحة النفسية والوصمة </w:t>
      </w:r>
      <w:r>
        <w:rPr>
          <w:rFonts w:asciiTheme="majorBidi" w:hAnsiTheme="majorBidi" w:cstheme="majorBidi"/>
          <w:rtl/>
        </w:rPr>
        <w:t xml:space="preserve">الاجتماعية </w:t>
      </w:r>
      <w:r>
        <w:rPr>
          <w:rFonts w:eastAsia="Times New Roman" w:asciiTheme="majorBidi" w:hAnsiTheme="majorBidi" w:cstheme="majorBidi"/>
          <w:kern w:val="0"/>
          <w:rtl/>
          <w14:ligatures w14:val="none"/>
        </w:rPr>
        <w:t>باستخدام العينة الاستطلاعية، وبلغت قيمته 0.801. تشير هذه القيمة المرتفعة إلى مستوى عالٍ من الثبات الداخلي، مما يعكس تجانس الفقرات في قياس المفاهيم المرتبطة بمحو الأمية والوصمة تجاه المرض النفسي. وبالتالي، تؤكد هذه النتيجة صلاحية الأداة ودقتها للاستخدام في البحث العلمي ضمن البيئة المستهدفة</w:t>
      </w:r>
      <w:r>
        <w:rPr>
          <w:rFonts w:eastAsia="Times New Roman" w:asciiTheme="majorBidi" w:hAnsiTheme="majorBidi" w:cstheme="majorBidi"/>
          <w:kern w:val="0"/>
          <w14:ligatures w14:val="none"/>
        </w:rPr>
        <w:t>.</w:t>
      </w:r>
    </w:p>
    <w:p w14:paraId="32ED30FD">
      <w:pPr>
        <w:widowControl w:val="0"/>
        <w:bidi/>
        <w:spacing w:line="360" w:lineRule="auto"/>
        <w:ind w:left="42"/>
        <w:rPr>
          <w:rFonts w:asciiTheme="majorBidi" w:hAnsiTheme="majorBidi" w:cstheme="majorBidi"/>
          <w:b/>
          <w:bCs/>
          <w:rtl/>
        </w:rPr>
      </w:pPr>
      <w:r>
        <w:rPr>
          <w:rFonts w:asciiTheme="majorBidi" w:hAnsiTheme="majorBidi" w:cstheme="majorBidi"/>
          <w:b/>
          <w:bCs/>
          <w:rtl/>
        </w:rPr>
        <w:t>نتائج الدراسة ومناقشتها</w:t>
      </w:r>
    </w:p>
    <w:p w14:paraId="507D163A">
      <w:pPr>
        <w:bidi/>
        <w:spacing w:line="360" w:lineRule="auto"/>
        <w:rPr>
          <w:rFonts w:asciiTheme="majorBidi" w:hAnsiTheme="majorBidi" w:cstheme="majorBidi"/>
          <w:b/>
          <w:bCs/>
          <w:rtl/>
        </w:rPr>
      </w:pPr>
      <w:bookmarkStart w:id="2" w:name="_Hlk208773001"/>
      <w:r>
        <w:rPr>
          <w:rFonts w:asciiTheme="majorBidi" w:hAnsiTheme="majorBidi" w:cstheme="majorBidi"/>
          <w:b/>
          <w:bCs/>
          <w:rtl/>
        </w:rPr>
        <w:t xml:space="preserve">النتائج المتعلقة بالسؤال الأول: ما مستوى تقييم محو الأمية في مجال الصحة النفسية والوصمة الاجتماعية تجاه المرض النفسي لدى </w:t>
      </w:r>
      <w:r>
        <w:rPr>
          <w:rFonts w:asciiTheme="majorBidi" w:hAnsiTheme="majorBidi" w:cstheme="majorBidi"/>
          <w:b/>
          <w:bCs/>
          <w:rtl/>
          <w:lang w:bidi="ar-JO"/>
        </w:rPr>
        <w:t>عينة من المجتمع الاردني</w:t>
      </w:r>
      <w:r>
        <w:rPr>
          <w:rFonts w:asciiTheme="majorBidi" w:hAnsiTheme="majorBidi" w:cstheme="majorBidi"/>
          <w:b/>
          <w:bCs/>
          <w:rtl/>
        </w:rPr>
        <w:t>؟</w:t>
      </w:r>
    </w:p>
    <w:bookmarkEnd w:id="2"/>
    <w:p w14:paraId="69CA9160">
      <w:pPr>
        <w:bidi/>
        <w:spacing w:line="360" w:lineRule="auto"/>
        <w:jc w:val="both"/>
        <w:rPr>
          <w:rFonts w:asciiTheme="majorBidi" w:hAnsiTheme="majorBidi" w:cstheme="majorBidi"/>
          <w:rtl/>
        </w:rPr>
      </w:pPr>
      <w:r>
        <w:rPr>
          <w:rFonts w:asciiTheme="majorBidi" w:hAnsiTheme="majorBidi" w:cstheme="majorBidi"/>
          <w:rtl/>
        </w:rPr>
        <w:t xml:space="preserve">للإجابة عن هذا السؤال تم حساب المتوسطات الحسابية والانحرافات المعيارية لفقرات أبعاد </w:t>
      </w:r>
      <w:r>
        <w:rPr>
          <w:rStyle w:val="11"/>
          <w:rFonts w:asciiTheme="majorBidi" w:hAnsiTheme="majorBidi" w:cstheme="majorBidi"/>
          <w:b w:val="0"/>
          <w:bCs w:val="0"/>
          <w:rtl/>
        </w:rPr>
        <w:t>مقياس محو الأمية في مجال الصحة النفسية والوصمة</w:t>
      </w:r>
      <w:r>
        <w:rPr>
          <w:rFonts w:asciiTheme="majorBidi" w:hAnsiTheme="majorBidi" w:cstheme="majorBidi"/>
          <w:rtl/>
        </w:rPr>
        <w:t xml:space="preserve"> الاجتماعية، والجداول التالية توضح نتائج استجابات أفراد عينة الدراسة. </w:t>
      </w:r>
    </w:p>
    <w:p w14:paraId="1B37F5B5">
      <w:pPr>
        <w:bidi/>
        <w:spacing w:after="0" w:line="360" w:lineRule="auto"/>
        <w:jc w:val="center"/>
        <w:rPr>
          <w:rFonts w:asciiTheme="majorBidi" w:hAnsiTheme="majorBidi" w:cstheme="majorBidi"/>
          <w:b/>
          <w:bCs/>
          <w:rtl/>
        </w:rPr>
      </w:pPr>
      <w:r>
        <w:rPr>
          <w:rFonts w:asciiTheme="majorBidi" w:hAnsiTheme="majorBidi" w:cstheme="majorBidi"/>
          <w:b/>
          <w:bCs/>
          <w:rtl/>
        </w:rPr>
        <w:t xml:space="preserve">جدول (4) المتوسطات الحسابية والانحرافات المعيارية لأبعاد </w:t>
      </w:r>
      <w:r>
        <w:rPr>
          <w:rStyle w:val="11"/>
          <w:rFonts w:asciiTheme="majorBidi" w:hAnsiTheme="majorBidi" w:cstheme="majorBidi"/>
          <w:rtl/>
        </w:rPr>
        <w:t>محو الأمية في مجال الصحة النفسية والوصمة</w:t>
      </w:r>
      <w:r>
        <w:rPr>
          <w:rFonts w:asciiTheme="majorBidi" w:hAnsiTheme="majorBidi" w:cstheme="majorBidi"/>
          <w:rtl/>
        </w:rPr>
        <w:t xml:space="preserve"> </w:t>
      </w:r>
      <w:r>
        <w:rPr>
          <w:rFonts w:asciiTheme="majorBidi" w:hAnsiTheme="majorBidi" w:cstheme="majorBidi"/>
          <w:b/>
          <w:bCs/>
          <w:rtl/>
        </w:rPr>
        <w:t>الاجتماعية</w:t>
      </w:r>
    </w:p>
    <w:tbl>
      <w:tblPr>
        <w:tblStyle w:val="18"/>
        <w:tblW w:w="9005" w:type="dxa"/>
        <w:jc w:val="center"/>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386"/>
        <w:gridCol w:w="828"/>
        <w:gridCol w:w="1897"/>
        <w:gridCol w:w="1873"/>
        <w:gridCol w:w="3021"/>
      </w:tblGrid>
      <w:tr w14:paraId="6F38A3D4">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jc w:val="center"/>
        </w:trPr>
        <w:tc>
          <w:tcPr>
            <w:tcW w:w="1386" w:type="dxa"/>
            <w:tcBorders>
              <w:bottom w:val="single" w:color="7E7E7E" w:themeColor="text1" w:themeTint="80" w:sz="4" w:space="0"/>
              <w:insideH w:val="single" w:sz="4" w:space="0"/>
            </w:tcBorders>
          </w:tcPr>
          <w:p w14:paraId="4CD9CE76">
            <w:pPr>
              <w:bidi/>
              <w:spacing w:after="0" w:line="360" w:lineRule="auto"/>
              <w:jc w:val="center"/>
              <w:rPr>
                <w:rFonts w:asciiTheme="majorBidi" w:hAnsiTheme="majorBidi" w:cstheme="majorBidi"/>
                <w:b w:val="0"/>
                <w:bCs w:val="0"/>
                <w:sz w:val="20"/>
                <w:szCs w:val="20"/>
              </w:rPr>
            </w:pPr>
            <w:r>
              <w:rPr>
                <w:rFonts w:asciiTheme="majorBidi" w:hAnsiTheme="majorBidi" w:cstheme="majorBidi"/>
                <w:b/>
                <w:bCs/>
                <w:sz w:val="20"/>
                <w:szCs w:val="20"/>
                <w:rtl/>
              </w:rPr>
              <w:t>المستوى</w:t>
            </w:r>
          </w:p>
        </w:tc>
        <w:tc>
          <w:tcPr>
            <w:tcW w:w="827" w:type="dxa"/>
            <w:tcBorders>
              <w:bottom w:val="single" w:color="7E7E7E" w:themeColor="text1" w:themeTint="80" w:sz="4" w:space="0"/>
              <w:insideH w:val="single" w:sz="4" w:space="0"/>
            </w:tcBorders>
          </w:tcPr>
          <w:p w14:paraId="5AD25710">
            <w:pPr>
              <w:bidi/>
              <w:spacing w:after="0" w:line="360" w:lineRule="auto"/>
              <w:jc w:val="center"/>
              <w:rPr>
                <w:rFonts w:asciiTheme="majorBidi" w:hAnsiTheme="majorBidi" w:cstheme="majorBidi"/>
                <w:b w:val="0"/>
                <w:bCs w:val="0"/>
                <w:sz w:val="20"/>
                <w:szCs w:val="20"/>
              </w:rPr>
            </w:pPr>
            <w:r>
              <w:rPr>
                <w:rFonts w:asciiTheme="majorBidi" w:hAnsiTheme="majorBidi" w:cstheme="majorBidi"/>
                <w:b/>
                <w:bCs/>
                <w:sz w:val="20"/>
                <w:szCs w:val="20"/>
                <w:rtl/>
              </w:rPr>
              <w:t>الرتبة</w:t>
            </w:r>
          </w:p>
        </w:tc>
        <w:tc>
          <w:tcPr>
            <w:tcW w:w="1897" w:type="dxa"/>
            <w:tcBorders>
              <w:bottom w:val="single" w:color="7E7E7E" w:themeColor="text1" w:themeTint="80" w:sz="4" w:space="0"/>
              <w:insideH w:val="single" w:sz="4" w:space="0"/>
            </w:tcBorders>
          </w:tcPr>
          <w:p w14:paraId="5262E49E">
            <w:pPr>
              <w:bidi/>
              <w:spacing w:after="0" w:line="360" w:lineRule="auto"/>
              <w:jc w:val="center"/>
              <w:rPr>
                <w:rFonts w:asciiTheme="majorBidi" w:hAnsiTheme="majorBidi" w:cstheme="majorBidi"/>
                <w:b w:val="0"/>
                <w:bCs w:val="0"/>
                <w:sz w:val="20"/>
                <w:szCs w:val="20"/>
              </w:rPr>
            </w:pPr>
            <w:r>
              <w:rPr>
                <w:rFonts w:asciiTheme="majorBidi" w:hAnsiTheme="majorBidi" w:cstheme="majorBidi"/>
                <w:b/>
                <w:bCs/>
                <w:sz w:val="20"/>
                <w:szCs w:val="20"/>
                <w:rtl/>
              </w:rPr>
              <w:t>الانحراف المعياري</w:t>
            </w:r>
          </w:p>
        </w:tc>
        <w:tc>
          <w:tcPr>
            <w:tcW w:w="1873" w:type="dxa"/>
            <w:tcBorders>
              <w:bottom w:val="single" w:color="7E7E7E" w:themeColor="text1" w:themeTint="80" w:sz="4" w:space="0"/>
              <w:insideH w:val="single" w:sz="4" w:space="0"/>
            </w:tcBorders>
          </w:tcPr>
          <w:p w14:paraId="36E95924">
            <w:pPr>
              <w:bidi/>
              <w:spacing w:after="0" w:line="360" w:lineRule="auto"/>
              <w:jc w:val="center"/>
              <w:rPr>
                <w:rFonts w:asciiTheme="majorBidi" w:hAnsiTheme="majorBidi" w:cstheme="majorBidi"/>
                <w:b w:val="0"/>
                <w:bCs w:val="0"/>
                <w:sz w:val="20"/>
                <w:szCs w:val="20"/>
                <w:lang w:bidi="ar-JO"/>
              </w:rPr>
            </w:pPr>
            <w:r>
              <w:rPr>
                <w:rFonts w:asciiTheme="majorBidi" w:hAnsiTheme="majorBidi" w:cstheme="majorBidi"/>
                <w:b/>
                <w:bCs/>
                <w:sz w:val="20"/>
                <w:szCs w:val="20"/>
                <w:rtl/>
                <w:lang w:bidi="ar-JO"/>
              </w:rPr>
              <w:t>المتوسط الحسابي</w:t>
            </w:r>
          </w:p>
        </w:tc>
        <w:tc>
          <w:tcPr>
            <w:tcW w:w="3021" w:type="dxa"/>
            <w:tcBorders>
              <w:bottom w:val="single" w:color="7E7E7E" w:themeColor="text1" w:themeTint="80" w:sz="4" w:space="0"/>
              <w:insideH w:val="single" w:sz="4" w:space="0"/>
            </w:tcBorders>
          </w:tcPr>
          <w:p w14:paraId="310D8874">
            <w:pPr>
              <w:bidi/>
              <w:spacing w:after="0" w:line="360" w:lineRule="auto"/>
              <w:jc w:val="lowKashida"/>
              <w:rPr>
                <w:rFonts w:asciiTheme="majorBidi" w:hAnsiTheme="majorBidi" w:cstheme="majorBidi"/>
                <w:b w:val="0"/>
                <w:bCs w:val="0"/>
                <w:sz w:val="20"/>
                <w:szCs w:val="20"/>
                <w:rtl/>
                <w:lang w:bidi="ar-JO"/>
              </w:rPr>
            </w:pPr>
            <w:r>
              <w:rPr>
                <w:rFonts w:asciiTheme="majorBidi" w:hAnsiTheme="majorBidi" w:cstheme="majorBidi"/>
                <w:b/>
                <w:bCs/>
                <w:sz w:val="20"/>
                <w:szCs w:val="20"/>
                <w:rtl/>
                <w:lang w:bidi="ar-JO"/>
              </w:rPr>
              <w:t>البعد</w:t>
            </w:r>
          </w:p>
        </w:tc>
      </w:tr>
      <w:tr w14:paraId="5020CBA7">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jc w:val="center"/>
        </w:trPr>
        <w:tc>
          <w:tcPr>
            <w:tcW w:w="1386" w:type="dxa"/>
            <w:tcBorders>
              <w:top w:val="single" w:color="7E7E7E" w:themeColor="text1" w:themeTint="80" w:sz="4" w:space="0"/>
              <w:bottom w:val="single" w:color="7E7E7E" w:themeColor="text1" w:themeTint="80" w:sz="4" w:space="0"/>
              <w:insideH w:val="single" w:sz="4" w:space="0"/>
            </w:tcBorders>
          </w:tcPr>
          <w:p w14:paraId="6AF1E61D">
            <w:pPr>
              <w:bidi/>
              <w:spacing w:after="0" w:line="360" w:lineRule="auto"/>
              <w:jc w:val="center"/>
              <w:rPr>
                <w:rFonts w:asciiTheme="majorBidi" w:hAnsiTheme="majorBidi" w:cstheme="majorBidi"/>
                <w:b/>
                <w:bCs/>
                <w:sz w:val="20"/>
                <w:szCs w:val="20"/>
              </w:rPr>
            </w:pPr>
            <w:r>
              <w:rPr>
                <w:rFonts w:asciiTheme="majorBidi" w:hAnsiTheme="majorBidi" w:cstheme="majorBidi"/>
                <w:b/>
                <w:bCs/>
                <w:sz w:val="20"/>
                <w:szCs w:val="20"/>
                <w:rtl/>
              </w:rPr>
              <w:t>متوسط</w:t>
            </w:r>
          </w:p>
        </w:tc>
        <w:tc>
          <w:tcPr>
            <w:tcW w:w="827" w:type="dxa"/>
            <w:tcBorders>
              <w:top w:val="single" w:color="7E7E7E" w:themeColor="text1" w:themeTint="80" w:sz="4" w:space="0"/>
              <w:bottom w:val="single" w:color="7E7E7E" w:themeColor="text1" w:themeTint="80" w:sz="4" w:space="0"/>
              <w:insideH w:val="single" w:sz="4" w:space="0"/>
            </w:tcBorders>
          </w:tcPr>
          <w:p w14:paraId="5D15C82A">
            <w:pPr>
              <w:bidi/>
              <w:spacing w:after="0" w:line="360" w:lineRule="auto"/>
              <w:jc w:val="center"/>
              <w:rPr>
                <w:rFonts w:asciiTheme="majorBidi" w:hAnsiTheme="majorBidi" w:cstheme="majorBidi"/>
                <w:sz w:val="20"/>
                <w:szCs w:val="20"/>
              </w:rPr>
            </w:pPr>
            <w:r>
              <w:rPr>
                <w:rFonts w:asciiTheme="majorBidi" w:hAnsiTheme="majorBidi" w:cstheme="majorBidi"/>
                <w:sz w:val="20"/>
                <w:szCs w:val="20"/>
                <w:rtl/>
              </w:rPr>
              <w:t>2</w:t>
            </w:r>
          </w:p>
        </w:tc>
        <w:tc>
          <w:tcPr>
            <w:tcW w:w="1897" w:type="dxa"/>
            <w:tcBorders>
              <w:top w:val="single" w:color="7E7E7E" w:themeColor="text1" w:themeTint="80" w:sz="4" w:space="0"/>
              <w:bottom w:val="single" w:color="7E7E7E" w:themeColor="text1" w:themeTint="80" w:sz="4" w:space="0"/>
              <w:insideH w:val="single" w:sz="4" w:space="0"/>
            </w:tcBorders>
          </w:tcPr>
          <w:p w14:paraId="27ACE72C">
            <w:pPr>
              <w:bidi/>
              <w:spacing w:after="0" w:line="360" w:lineRule="auto"/>
              <w:jc w:val="center"/>
              <w:rPr>
                <w:rFonts w:asciiTheme="majorBidi" w:hAnsiTheme="majorBidi" w:cstheme="majorBidi"/>
                <w:sz w:val="20"/>
                <w:szCs w:val="20"/>
              </w:rPr>
            </w:pPr>
            <w:r>
              <w:rPr>
                <w:rFonts w:asciiTheme="majorBidi" w:hAnsiTheme="majorBidi" w:cstheme="majorBidi"/>
                <w:sz w:val="20"/>
                <w:szCs w:val="20"/>
                <w:rtl/>
              </w:rPr>
              <w:t>0.32</w:t>
            </w:r>
          </w:p>
        </w:tc>
        <w:tc>
          <w:tcPr>
            <w:tcW w:w="1873" w:type="dxa"/>
            <w:tcBorders>
              <w:top w:val="single" w:color="7E7E7E" w:themeColor="text1" w:themeTint="80" w:sz="4" w:space="0"/>
              <w:bottom w:val="single" w:color="7E7E7E" w:themeColor="text1" w:themeTint="80" w:sz="4" w:space="0"/>
              <w:insideH w:val="single" w:sz="4" w:space="0"/>
            </w:tcBorders>
          </w:tcPr>
          <w:p w14:paraId="2F2D5CC0">
            <w:pPr>
              <w:bidi/>
              <w:spacing w:after="0" w:line="360" w:lineRule="auto"/>
              <w:jc w:val="center"/>
              <w:rPr>
                <w:rFonts w:asciiTheme="majorBidi" w:hAnsiTheme="majorBidi" w:cstheme="majorBidi"/>
                <w:sz w:val="20"/>
                <w:szCs w:val="20"/>
              </w:rPr>
            </w:pPr>
            <w:r>
              <w:rPr>
                <w:rFonts w:asciiTheme="majorBidi" w:hAnsiTheme="majorBidi" w:cstheme="majorBidi"/>
                <w:sz w:val="20"/>
                <w:szCs w:val="20"/>
                <w:rtl/>
              </w:rPr>
              <w:t>2.13</w:t>
            </w:r>
          </w:p>
        </w:tc>
        <w:tc>
          <w:tcPr>
            <w:tcW w:w="3021" w:type="dxa"/>
            <w:tcBorders>
              <w:top w:val="single" w:color="7E7E7E" w:themeColor="text1" w:themeTint="80" w:sz="4" w:space="0"/>
              <w:bottom w:val="single" w:color="7E7E7E" w:themeColor="text1" w:themeTint="80" w:sz="4" w:space="0"/>
              <w:insideH w:val="single" w:sz="4" w:space="0"/>
            </w:tcBorders>
          </w:tcPr>
          <w:p w14:paraId="7A4BFC73">
            <w:pPr>
              <w:bidi/>
              <w:spacing w:after="0" w:line="360" w:lineRule="auto"/>
              <w:rPr>
                <w:rFonts w:eastAsia="Times New Roman" w:asciiTheme="majorBidi" w:hAnsiTheme="majorBidi" w:cstheme="majorBidi"/>
                <w:kern w:val="0"/>
                <w:sz w:val="20"/>
                <w:szCs w:val="20"/>
                <w14:ligatures w14:val="none"/>
              </w:rPr>
            </w:pPr>
            <w:r>
              <w:rPr>
                <w:rFonts w:eastAsia="Times New Roman" w:asciiTheme="majorBidi" w:hAnsiTheme="majorBidi" w:cstheme="majorBidi"/>
                <w:b/>
                <w:bCs/>
                <w:kern w:val="0"/>
                <w:sz w:val="20"/>
                <w:szCs w:val="20"/>
                <w:rtl/>
                <w14:ligatures w14:val="none"/>
              </w:rPr>
              <w:t>الوعي بالمرض النفسي</w:t>
            </w:r>
            <w:r>
              <w:rPr>
                <w:rFonts w:eastAsia="Times New Roman" w:asciiTheme="majorBidi" w:hAnsiTheme="majorBidi" w:cstheme="majorBidi"/>
                <w:b/>
                <w:bCs/>
                <w:kern w:val="0"/>
                <w:sz w:val="20"/>
                <w:szCs w:val="20"/>
                <w14:ligatures w14:val="none"/>
              </w:rPr>
              <w:t xml:space="preserve"> (MHL)</w:t>
            </w:r>
          </w:p>
        </w:tc>
      </w:tr>
      <w:tr w14:paraId="19E24754">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jc w:val="center"/>
        </w:trPr>
        <w:tc>
          <w:tcPr>
            <w:tcW w:w="1386" w:type="dxa"/>
          </w:tcPr>
          <w:p w14:paraId="15319385">
            <w:pPr>
              <w:bidi/>
              <w:spacing w:after="0" w:line="360" w:lineRule="auto"/>
              <w:jc w:val="center"/>
              <w:rPr>
                <w:rFonts w:asciiTheme="majorBidi" w:hAnsiTheme="majorBidi" w:cstheme="majorBidi"/>
                <w:b/>
                <w:bCs/>
                <w:sz w:val="20"/>
                <w:szCs w:val="20"/>
              </w:rPr>
            </w:pPr>
            <w:r>
              <w:rPr>
                <w:rFonts w:asciiTheme="majorBidi" w:hAnsiTheme="majorBidi" w:cstheme="majorBidi"/>
                <w:b/>
                <w:bCs/>
                <w:sz w:val="20"/>
                <w:szCs w:val="20"/>
                <w:rtl/>
              </w:rPr>
              <w:t>مرتفع</w:t>
            </w:r>
          </w:p>
        </w:tc>
        <w:tc>
          <w:tcPr>
            <w:tcW w:w="827" w:type="dxa"/>
          </w:tcPr>
          <w:p w14:paraId="29F52498">
            <w:pPr>
              <w:bidi/>
              <w:spacing w:after="0" w:line="360" w:lineRule="auto"/>
              <w:jc w:val="center"/>
              <w:rPr>
                <w:rFonts w:asciiTheme="majorBidi" w:hAnsiTheme="majorBidi" w:cstheme="majorBidi"/>
                <w:sz w:val="20"/>
                <w:szCs w:val="20"/>
              </w:rPr>
            </w:pPr>
            <w:r>
              <w:rPr>
                <w:rFonts w:asciiTheme="majorBidi" w:hAnsiTheme="majorBidi" w:cstheme="majorBidi"/>
                <w:sz w:val="20"/>
                <w:szCs w:val="20"/>
                <w:rtl/>
              </w:rPr>
              <w:t>1</w:t>
            </w:r>
          </w:p>
        </w:tc>
        <w:tc>
          <w:tcPr>
            <w:tcW w:w="1897" w:type="dxa"/>
          </w:tcPr>
          <w:p w14:paraId="3C899570">
            <w:pPr>
              <w:bidi/>
              <w:spacing w:after="0" w:line="360" w:lineRule="auto"/>
              <w:jc w:val="center"/>
              <w:rPr>
                <w:rFonts w:asciiTheme="majorBidi" w:hAnsiTheme="majorBidi" w:cstheme="majorBidi"/>
                <w:sz w:val="20"/>
                <w:szCs w:val="20"/>
              </w:rPr>
            </w:pPr>
            <w:r>
              <w:rPr>
                <w:rFonts w:asciiTheme="majorBidi" w:hAnsiTheme="majorBidi" w:cstheme="majorBidi"/>
                <w:sz w:val="20"/>
                <w:szCs w:val="20"/>
                <w:rtl/>
              </w:rPr>
              <w:t>0.27</w:t>
            </w:r>
          </w:p>
        </w:tc>
        <w:tc>
          <w:tcPr>
            <w:tcW w:w="1873" w:type="dxa"/>
          </w:tcPr>
          <w:p w14:paraId="0536C8B3">
            <w:pPr>
              <w:bidi/>
              <w:spacing w:after="0" w:line="360" w:lineRule="auto"/>
              <w:jc w:val="center"/>
              <w:rPr>
                <w:rFonts w:asciiTheme="majorBidi" w:hAnsiTheme="majorBidi" w:cstheme="majorBidi"/>
                <w:sz w:val="20"/>
                <w:szCs w:val="20"/>
              </w:rPr>
            </w:pPr>
            <w:r>
              <w:rPr>
                <w:rFonts w:asciiTheme="majorBidi" w:hAnsiTheme="majorBidi" w:cstheme="majorBidi"/>
                <w:sz w:val="20"/>
                <w:szCs w:val="20"/>
                <w:rtl/>
              </w:rPr>
              <w:t>2.44</w:t>
            </w:r>
          </w:p>
        </w:tc>
        <w:tc>
          <w:tcPr>
            <w:tcW w:w="3021" w:type="dxa"/>
          </w:tcPr>
          <w:p w14:paraId="21BE3ACB">
            <w:pPr>
              <w:bidi/>
              <w:spacing w:after="0" w:line="360" w:lineRule="auto"/>
              <w:rPr>
                <w:rFonts w:eastAsia="Times New Roman" w:asciiTheme="majorBidi" w:hAnsiTheme="majorBidi" w:cstheme="majorBidi"/>
                <w:kern w:val="0"/>
                <w:sz w:val="20"/>
                <w:szCs w:val="20"/>
                <w14:ligatures w14:val="none"/>
              </w:rPr>
            </w:pPr>
            <w:r>
              <w:rPr>
                <w:rFonts w:eastAsia="Times New Roman" w:asciiTheme="majorBidi" w:hAnsiTheme="majorBidi" w:cstheme="majorBidi"/>
                <w:b/>
                <w:bCs/>
                <w:kern w:val="0"/>
                <w:sz w:val="20"/>
                <w:szCs w:val="20"/>
                <w:rtl/>
                <w14:ligatures w14:val="none"/>
              </w:rPr>
              <w:t>الوصمة الاجتماعية</w:t>
            </w:r>
            <w:r>
              <w:rPr>
                <w:rFonts w:eastAsia="Times New Roman" w:asciiTheme="majorBidi" w:hAnsiTheme="majorBidi" w:cstheme="majorBidi"/>
                <w:b/>
                <w:bCs/>
                <w:kern w:val="0"/>
                <w:sz w:val="20"/>
                <w:szCs w:val="20"/>
                <w14:ligatures w14:val="none"/>
              </w:rPr>
              <w:t xml:space="preserve"> (Stigma)</w:t>
            </w:r>
          </w:p>
        </w:tc>
      </w:tr>
      <w:tr w14:paraId="4B7E7C2C">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jc w:val="center"/>
        </w:trPr>
        <w:tc>
          <w:tcPr>
            <w:tcW w:w="2214" w:type="dxa"/>
            <w:gridSpan w:val="2"/>
            <w:tcBorders>
              <w:top w:val="single" w:color="7E7E7E" w:themeColor="text1" w:themeTint="80" w:sz="4" w:space="0"/>
              <w:bottom w:val="single" w:color="7E7E7E" w:themeColor="text1" w:themeTint="80" w:sz="4" w:space="0"/>
              <w:insideH w:val="single" w:sz="4" w:space="0"/>
            </w:tcBorders>
          </w:tcPr>
          <w:p w14:paraId="18D7233B">
            <w:pPr>
              <w:bidi/>
              <w:spacing w:after="0" w:line="360" w:lineRule="auto"/>
              <w:jc w:val="center"/>
              <w:rPr>
                <w:rFonts w:asciiTheme="majorBidi" w:hAnsiTheme="majorBidi" w:cstheme="majorBidi"/>
                <w:b/>
                <w:bCs/>
                <w:sz w:val="20"/>
                <w:szCs w:val="20"/>
              </w:rPr>
            </w:pPr>
            <w:r>
              <w:rPr>
                <w:rFonts w:asciiTheme="majorBidi" w:hAnsiTheme="majorBidi" w:cstheme="majorBidi"/>
                <w:b/>
                <w:bCs/>
                <w:sz w:val="20"/>
                <w:szCs w:val="20"/>
                <w:rtl/>
              </w:rPr>
              <w:t xml:space="preserve">             متوسط</w:t>
            </w:r>
          </w:p>
        </w:tc>
        <w:tc>
          <w:tcPr>
            <w:tcW w:w="1897" w:type="dxa"/>
            <w:tcBorders>
              <w:top w:val="single" w:color="7E7E7E" w:themeColor="text1" w:themeTint="80" w:sz="4" w:space="0"/>
              <w:bottom w:val="single" w:color="7E7E7E" w:themeColor="text1" w:themeTint="80" w:sz="4" w:space="0"/>
              <w:insideH w:val="single" w:sz="4" w:space="0"/>
            </w:tcBorders>
          </w:tcPr>
          <w:p w14:paraId="106F4D60">
            <w:pPr>
              <w:bidi/>
              <w:spacing w:after="0" w:line="360" w:lineRule="auto"/>
              <w:jc w:val="center"/>
              <w:rPr>
                <w:rFonts w:asciiTheme="majorBidi" w:hAnsiTheme="majorBidi" w:cstheme="majorBidi"/>
                <w:sz w:val="20"/>
                <w:szCs w:val="20"/>
                <w:rtl/>
                <w:lang w:bidi="ar-JO"/>
              </w:rPr>
            </w:pPr>
            <w:r>
              <w:rPr>
                <w:rFonts w:asciiTheme="majorBidi" w:hAnsiTheme="majorBidi" w:cstheme="majorBidi"/>
                <w:sz w:val="20"/>
                <w:szCs w:val="20"/>
                <w:rtl/>
                <w:lang w:bidi="ar-JO"/>
              </w:rPr>
              <w:t>---</w:t>
            </w:r>
          </w:p>
        </w:tc>
        <w:tc>
          <w:tcPr>
            <w:tcW w:w="1873" w:type="dxa"/>
            <w:tcBorders>
              <w:top w:val="single" w:color="7E7E7E" w:themeColor="text1" w:themeTint="80" w:sz="4" w:space="0"/>
              <w:bottom w:val="single" w:color="7E7E7E" w:themeColor="text1" w:themeTint="80" w:sz="4" w:space="0"/>
              <w:insideH w:val="single" w:sz="4" w:space="0"/>
            </w:tcBorders>
          </w:tcPr>
          <w:p w14:paraId="18F82588">
            <w:pPr>
              <w:bidi/>
              <w:spacing w:after="0" w:line="360" w:lineRule="auto"/>
              <w:jc w:val="center"/>
              <w:rPr>
                <w:rFonts w:asciiTheme="majorBidi" w:hAnsiTheme="majorBidi" w:cstheme="majorBidi"/>
                <w:sz w:val="20"/>
                <w:szCs w:val="20"/>
              </w:rPr>
            </w:pPr>
            <w:r>
              <w:rPr>
                <w:rFonts w:asciiTheme="majorBidi" w:hAnsiTheme="majorBidi" w:cstheme="majorBidi"/>
                <w:sz w:val="20"/>
                <w:szCs w:val="20"/>
                <w:rtl/>
              </w:rPr>
              <w:t>2.28</w:t>
            </w:r>
          </w:p>
        </w:tc>
        <w:tc>
          <w:tcPr>
            <w:tcW w:w="3021" w:type="dxa"/>
            <w:tcBorders>
              <w:top w:val="single" w:color="7E7E7E" w:themeColor="text1" w:themeTint="80" w:sz="4" w:space="0"/>
              <w:bottom w:val="single" w:color="7E7E7E" w:themeColor="text1" w:themeTint="80" w:sz="4" w:space="0"/>
              <w:insideH w:val="single" w:sz="4" w:space="0"/>
            </w:tcBorders>
          </w:tcPr>
          <w:p w14:paraId="02C49B17">
            <w:pPr>
              <w:bidi/>
              <w:spacing w:after="0" w:line="360" w:lineRule="auto"/>
              <w:jc w:val="lowKashida"/>
              <w:rPr>
                <w:rFonts w:asciiTheme="majorBidi" w:hAnsiTheme="majorBidi" w:cstheme="majorBidi"/>
                <w:b/>
                <w:bCs/>
                <w:sz w:val="20"/>
                <w:szCs w:val="20"/>
                <w:rtl/>
                <w:lang w:bidi="ar-JO"/>
              </w:rPr>
            </w:pPr>
            <w:r>
              <w:rPr>
                <w:rFonts w:eastAsia="Times New Roman" w:asciiTheme="majorBidi" w:hAnsiTheme="majorBidi" w:cstheme="majorBidi"/>
                <w:b/>
                <w:bCs/>
                <w:sz w:val="20"/>
                <w:szCs w:val="20"/>
                <w:rtl/>
              </w:rPr>
              <w:t>المقياس</w:t>
            </w:r>
            <w:r>
              <w:rPr>
                <w:rFonts w:asciiTheme="majorBidi" w:hAnsiTheme="majorBidi" w:cstheme="majorBidi"/>
                <w:b/>
                <w:bCs/>
                <w:sz w:val="20"/>
                <w:szCs w:val="20"/>
                <w:rtl/>
              </w:rPr>
              <w:t xml:space="preserve"> ككل</w:t>
            </w:r>
          </w:p>
        </w:tc>
      </w:tr>
    </w:tbl>
    <w:p w14:paraId="0B4353C4">
      <w:pPr>
        <w:bidi/>
        <w:spacing w:line="360" w:lineRule="auto"/>
        <w:jc w:val="lowKashida"/>
        <w:rPr>
          <w:rFonts w:asciiTheme="majorBidi" w:hAnsiTheme="majorBidi" w:cstheme="majorBidi"/>
          <w:rtl/>
        </w:rPr>
      </w:pPr>
      <w:r>
        <w:rPr>
          <w:rFonts w:asciiTheme="majorBidi" w:hAnsiTheme="majorBidi" w:cstheme="majorBidi"/>
          <w:rtl/>
        </w:rPr>
        <w:t xml:space="preserve">يتبين من الجدول (4) أن متوسطات أبعاد المقياس تراوحت بين المستوى </w:t>
      </w:r>
      <w:r>
        <w:rPr>
          <w:rStyle w:val="11"/>
          <w:rFonts w:asciiTheme="majorBidi" w:hAnsiTheme="majorBidi" w:cstheme="majorBidi"/>
          <w:b w:val="0"/>
          <w:bCs w:val="0"/>
          <w:rtl/>
        </w:rPr>
        <w:t>المتوسط والمرتفع</w:t>
      </w:r>
      <w:r>
        <w:rPr>
          <w:rFonts w:asciiTheme="majorBidi" w:hAnsiTheme="majorBidi" w:cstheme="majorBidi"/>
          <w:rtl/>
        </w:rPr>
        <w:t xml:space="preserve">، حيث جاء بُعد </w:t>
      </w:r>
      <w:r>
        <w:rPr>
          <w:rStyle w:val="11"/>
          <w:rFonts w:asciiTheme="majorBidi" w:hAnsiTheme="majorBidi" w:cstheme="majorBidi"/>
          <w:b w:val="0"/>
          <w:bCs w:val="0"/>
          <w:rtl/>
        </w:rPr>
        <w:t>الوصمة الاجتماعية</w:t>
      </w:r>
      <w:r>
        <w:rPr>
          <w:rFonts w:asciiTheme="majorBidi" w:hAnsiTheme="majorBidi" w:cstheme="majorBidi"/>
          <w:rtl/>
        </w:rPr>
        <w:t xml:space="preserve"> في المرتبة الأولى بمتوسط حسابي (2.44) وانحراف معياري (0.27)، أما بُعد</w:t>
      </w:r>
      <w:r>
        <w:rPr>
          <w:rFonts w:asciiTheme="majorBidi" w:hAnsiTheme="majorBidi" w:cstheme="majorBidi"/>
          <w:b/>
          <w:bCs/>
          <w:rtl/>
        </w:rPr>
        <w:t xml:space="preserve"> </w:t>
      </w:r>
      <w:r>
        <w:rPr>
          <w:rStyle w:val="11"/>
          <w:rFonts w:asciiTheme="majorBidi" w:hAnsiTheme="majorBidi" w:cstheme="majorBidi"/>
          <w:b w:val="0"/>
          <w:bCs w:val="0"/>
          <w:rtl/>
        </w:rPr>
        <w:t>الوعي بالمرض النفسي</w:t>
      </w:r>
      <w:r>
        <w:rPr>
          <w:rFonts w:asciiTheme="majorBidi" w:hAnsiTheme="majorBidi" w:cstheme="majorBidi"/>
          <w:rtl/>
        </w:rPr>
        <w:t xml:space="preserve"> فقد جاء في المرتبة الثانية بمتوسط (2.13) وانحراف معياري (0.32)، وهو مستوى متوسط. وبالنظر إلى المقياس ككل، فقد بلغ المتوسط (2.28) بمستوى متوسط.</w:t>
      </w:r>
    </w:p>
    <w:p w14:paraId="7A83582C">
      <w:pPr>
        <w:bidi/>
        <w:spacing w:line="360" w:lineRule="auto"/>
        <w:ind w:firstLine="720"/>
        <w:jc w:val="lowKashida"/>
        <w:rPr>
          <w:rFonts w:asciiTheme="majorBidi" w:hAnsiTheme="majorBidi" w:cstheme="majorBidi"/>
        </w:rPr>
      </w:pPr>
      <w:r>
        <w:rPr>
          <w:rFonts w:hint="cs" w:asciiTheme="majorBidi" w:hAnsiTheme="majorBidi" w:cstheme="majorBidi"/>
          <w:rtl/>
        </w:rPr>
        <w:t>و</w:t>
      </w:r>
      <w:r>
        <w:rPr>
          <w:rFonts w:asciiTheme="majorBidi" w:hAnsiTheme="majorBidi" w:cstheme="majorBidi"/>
          <w:rtl/>
        </w:rPr>
        <w:t>يعكس هذا المستوى أن الأفراد يمتلكون قاعدة معرفية لا بأس بها في مجال الصحة النفسية، إلا أنها تظل محدودة الأثر وغير كافية لإحداث تحول</w:t>
      </w:r>
      <w:r>
        <w:rPr>
          <w:rFonts w:hint="cs" w:asciiTheme="majorBidi" w:hAnsiTheme="majorBidi" w:cstheme="majorBidi"/>
          <w:rtl/>
        </w:rPr>
        <w:t xml:space="preserve"> </w:t>
      </w:r>
      <w:r>
        <w:rPr>
          <w:rFonts w:asciiTheme="majorBidi" w:hAnsiTheme="majorBidi" w:cstheme="majorBidi"/>
          <w:rtl/>
        </w:rPr>
        <w:t>نوعي في الاتجاهات والسلوكيات المرتبطة بالتعامل مع المرض النفسي</w:t>
      </w:r>
      <w:r>
        <w:rPr>
          <w:rFonts w:hint="cs" w:asciiTheme="majorBidi" w:hAnsiTheme="majorBidi" w:cstheme="majorBidi"/>
          <w:rtl/>
        </w:rPr>
        <w:t xml:space="preserve">، </w:t>
      </w:r>
      <w:r>
        <w:rPr>
          <w:rFonts w:asciiTheme="majorBidi" w:hAnsiTheme="majorBidi" w:cstheme="majorBidi"/>
          <w:rtl/>
        </w:rPr>
        <w:t>كما يشير هذا المستوى إلى وجود فجوة واضحة بين المعرفة النظرية والتطبيق العملي، حيث تتعايش المعلومات الحديثة مع أنماط فكرية تقليدية لا تزال تُعيد إنتاج الوصمة الاجتماعية وتُضعف من فاعلية هذا الوعي</w:t>
      </w:r>
      <w:r>
        <w:rPr>
          <w:rFonts w:hint="cs" w:asciiTheme="majorBidi" w:hAnsiTheme="majorBidi" w:cstheme="majorBidi"/>
          <w:rtl/>
        </w:rPr>
        <w:t xml:space="preserve">، </w:t>
      </w:r>
      <w:r>
        <w:rPr>
          <w:rFonts w:asciiTheme="majorBidi" w:hAnsiTheme="majorBidi" w:cstheme="majorBidi"/>
          <w:rtl/>
        </w:rPr>
        <w:t>وبذلك، يبدو أن هذا الوعي لم يصل بعد إلى الدرجة التي تمكّنه من إحداث تغيير عميق ومستدام في نظرة الأفراد للمرض النفسي أو في استعدادهم للتعامل الإيجابي معه</w:t>
      </w:r>
      <w:r>
        <w:rPr>
          <w:rFonts w:asciiTheme="majorBidi" w:hAnsiTheme="majorBidi" w:cstheme="majorBidi"/>
        </w:rPr>
        <w:t>.</w:t>
      </w:r>
    </w:p>
    <w:p w14:paraId="033F2967">
      <w:pPr>
        <w:bidi/>
        <w:spacing w:line="360" w:lineRule="auto"/>
        <w:jc w:val="lowKashida"/>
        <w:rPr>
          <w:rFonts w:asciiTheme="majorBidi" w:hAnsiTheme="majorBidi" w:cstheme="majorBidi"/>
          <w:rtl/>
        </w:rPr>
      </w:pPr>
      <w:r>
        <w:rPr>
          <w:rFonts w:asciiTheme="majorBidi" w:hAnsiTheme="majorBidi" w:cstheme="majorBidi"/>
          <w:rtl/>
        </w:rPr>
        <w:tab/>
      </w:r>
      <w:r>
        <w:rPr>
          <w:rFonts w:asciiTheme="majorBidi" w:hAnsiTheme="majorBidi" w:cstheme="majorBidi"/>
          <w:rtl/>
        </w:rPr>
        <w:t>وقد تم حساب المتوسطات الحسابية والانحرافات المعيارية لتقديرات أفراد عينة الدراسة على فقرات كل بعد على حده، حيث كانت على النحو التالي:</w:t>
      </w:r>
    </w:p>
    <w:p w14:paraId="292417EE">
      <w:pPr>
        <w:tabs>
          <w:tab w:val="left" w:pos="1440"/>
        </w:tabs>
        <w:bidi/>
        <w:spacing w:line="360" w:lineRule="auto"/>
        <w:rPr>
          <w:rFonts w:eastAsia="Times New Roman" w:asciiTheme="majorBidi" w:hAnsiTheme="majorBidi" w:cstheme="majorBidi"/>
          <w:b/>
          <w:bCs/>
          <w:kern w:val="0"/>
          <w:rtl/>
          <w14:ligatures w14:val="none"/>
        </w:rPr>
      </w:pPr>
      <w:r>
        <w:rPr>
          <w:rFonts w:eastAsia="Times New Roman" w:asciiTheme="majorBidi" w:hAnsiTheme="majorBidi" w:cstheme="majorBidi"/>
          <w:b/>
          <w:bCs/>
          <w:kern w:val="0"/>
          <w:rtl/>
          <w14:ligatures w14:val="none"/>
        </w:rPr>
        <w:t>الوعي بالمرض النفسي</w:t>
      </w:r>
    </w:p>
    <w:p w14:paraId="68B6D230">
      <w:pPr>
        <w:bidi/>
        <w:spacing w:after="0" w:line="360" w:lineRule="auto"/>
        <w:ind w:left="360" w:right="-90"/>
        <w:jc w:val="lowKashida"/>
        <w:rPr>
          <w:rFonts w:asciiTheme="majorBidi" w:hAnsiTheme="majorBidi" w:cstheme="majorBidi"/>
          <w:b/>
          <w:bCs/>
          <w:color w:val="000000" w:themeColor="text1"/>
          <w:rtl/>
          <w14:textFill>
            <w14:solidFill>
              <w14:schemeClr w14:val="tx1"/>
            </w14:solidFill>
          </w14:textFill>
        </w:rPr>
      </w:pPr>
      <w:r>
        <w:rPr>
          <w:rFonts w:asciiTheme="majorBidi" w:hAnsiTheme="majorBidi" w:cstheme="majorBidi"/>
          <w:b/>
          <w:bCs/>
          <w:color w:val="000000" w:themeColor="text1"/>
          <w:rtl/>
          <w14:textFill>
            <w14:solidFill>
              <w14:schemeClr w14:val="tx1"/>
            </w14:solidFill>
          </w14:textFill>
        </w:rPr>
        <w:t xml:space="preserve">جدول (5) المتوسطات الحسابية والانحرافات المعيارية لفقرات </w:t>
      </w:r>
      <w:r>
        <w:rPr>
          <w:rFonts w:eastAsia="Times New Roman" w:asciiTheme="majorBidi" w:hAnsiTheme="majorBidi" w:cstheme="majorBidi"/>
          <w:b/>
          <w:bCs/>
          <w:kern w:val="0"/>
          <w:rtl/>
          <w14:ligatures w14:val="none"/>
        </w:rPr>
        <w:t>الوعي بالمرض النفسي</w:t>
      </w:r>
    </w:p>
    <w:tbl>
      <w:tblPr>
        <w:tblStyle w:val="18"/>
        <w:bidiVisual/>
        <w:tblW w:w="0" w:type="auto"/>
        <w:tblInd w:w="0" w:type="dxa"/>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958"/>
        <w:gridCol w:w="708"/>
        <w:gridCol w:w="993"/>
        <w:gridCol w:w="708"/>
        <w:gridCol w:w="993"/>
      </w:tblGrid>
      <w:tr w14:paraId="09914804">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5958" w:type="dxa"/>
            <w:tcBorders>
              <w:bottom w:val="single" w:color="7E7E7E" w:themeColor="text1" w:themeTint="80" w:sz="4" w:space="0"/>
              <w:insideH w:val="single" w:sz="4" w:space="0"/>
            </w:tcBorders>
          </w:tcPr>
          <w:p w14:paraId="48AA6C48">
            <w:pPr>
              <w:bidi/>
              <w:spacing w:after="0" w:line="360" w:lineRule="auto"/>
              <w:ind w:right="-90"/>
              <w:jc w:val="lowKashida"/>
              <w:rPr>
                <w:rFonts w:asciiTheme="majorBidi" w:hAnsiTheme="majorBidi" w:cstheme="majorBidi"/>
                <w:b w:val="0"/>
                <w:bCs w:val="0"/>
                <w:color w:val="000000" w:themeColor="text1"/>
                <w:sz w:val="20"/>
                <w:szCs w:val="20"/>
                <w:rtl/>
                <w14:textFill>
                  <w14:solidFill>
                    <w14:schemeClr w14:val="tx1"/>
                  </w14:solidFill>
                </w14:textFill>
              </w:rPr>
            </w:pPr>
            <w:r>
              <w:rPr>
                <w:rFonts w:asciiTheme="majorBidi" w:hAnsiTheme="majorBidi" w:cstheme="majorBidi"/>
                <w:b w:val="0"/>
                <w:bCs w:val="0"/>
                <w:color w:val="000000" w:themeColor="text1"/>
                <w:sz w:val="20"/>
                <w:szCs w:val="20"/>
                <w:rtl/>
                <w14:textFill>
                  <w14:solidFill>
                    <w14:schemeClr w14:val="tx1"/>
                  </w14:solidFill>
                </w14:textFill>
              </w:rPr>
              <w:t>الفقرة</w:t>
            </w:r>
          </w:p>
        </w:tc>
        <w:tc>
          <w:tcPr>
            <w:tcW w:w="708" w:type="dxa"/>
            <w:tcBorders>
              <w:bottom w:val="single" w:color="7E7E7E" w:themeColor="text1" w:themeTint="80" w:sz="4" w:space="0"/>
              <w:insideH w:val="single" w:sz="4" w:space="0"/>
            </w:tcBorders>
          </w:tcPr>
          <w:p w14:paraId="4D08CEC3">
            <w:pPr>
              <w:bidi/>
              <w:spacing w:after="0" w:line="360" w:lineRule="auto"/>
              <w:ind w:right="-90"/>
              <w:jc w:val="lowKashida"/>
              <w:rPr>
                <w:rFonts w:asciiTheme="majorBidi" w:hAnsiTheme="majorBidi" w:cstheme="majorBidi"/>
                <w:b w:val="0"/>
                <w:bCs w:val="0"/>
                <w:color w:val="000000" w:themeColor="text1"/>
                <w:sz w:val="20"/>
                <w:szCs w:val="20"/>
                <w:rtl/>
                <w14:textFill>
                  <w14:solidFill>
                    <w14:schemeClr w14:val="tx1"/>
                  </w14:solidFill>
                </w14:textFill>
              </w:rPr>
            </w:pPr>
            <w:r>
              <w:rPr>
                <w:rFonts w:asciiTheme="majorBidi" w:hAnsiTheme="majorBidi" w:cstheme="majorBidi"/>
                <w:b w:val="0"/>
                <w:bCs w:val="0"/>
                <w:color w:val="000000" w:themeColor="text1"/>
                <w:sz w:val="20"/>
                <w:szCs w:val="20"/>
                <w:rtl/>
                <w14:textFill>
                  <w14:solidFill>
                    <w14:schemeClr w14:val="tx1"/>
                  </w14:solidFill>
                </w14:textFill>
              </w:rPr>
              <w:t>المتوسط الحسابي</w:t>
            </w:r>
          </w:p>
        </w:tc>
        <w:tc>
          <w:tcPr>
            <w:tcW w:w="993" w:type="dxa"/>
            <w:tcBorders>
              <w:bottom w:val="single" w:color="7E7E7E" w:themeColor="text1" w:themeTint="80" w:sz="4" w:space="0"/>
              <w:insideH w:val="single" w:sz="4" w:space="0"/>
            </w:tcBorders>
          </w:tcPr>
          <w:p w14:paraId="65F0E90D">
            <w:pPr>
              <w:bidi/>
              <w:spacing w:after="0" w:line="360" w:lineRule="auto"/>
              <w:ind w:right="-90"/>
              <w:jc w:val="lowKashida"/>
              <w:rPr>
                <w:rFonts w:asciiTheme="majorBidi" w:hAnsiTheme="majorBidi" w:cstheme="majorBidi"/>
                <w:b w:val="0"/>
                <w:bCs w:val="0"/>
                <w:color w:val="000000" w:themeColor="text1"/>
                <w:sz w:val="20"/>
                <w:szCs w:val="20"/>
                <w:rtl/>
                <w14:textFill>
                  <w14:solidFill>
                    <w14:schemeClr w14:val="tx1"/>
                  </w14:solidFill>
                </w14:textFill>
              </w:rPr>
            </w:pPr>
            <w:r>
              <w:rPr>
                <w:rFonts w:asciiTheme="majorBidi" w:hAnsiTheme="majorBidi" w:cstheme="majorBidi"/>
                <w:b w:val="0"/>
                <w:bCs w:val="0"/>
                <w:color w:val="000000" w:themeColor="text1"/>
                <w:sz w:val="20"/>
                <w:szCs w:val="20"/>
                <w:rtl/>
                <w14:textFill>
                  <w14:solidFill>
                    <w14:schemeClr w14:val="tx1"/>
                  </w14:solidFill>
                </w14:textFill>
              </w:rPr>
              <w:t>الانحراف المعياري</w:t>
            </w:r>
          </w:p>
        </w:tc>
        <w:tc>
          <w:tcPr>
            <w:tcW w:w="708" w:type="dxa"/>
            <w:tcBorders>
              <w:bottom w:val="single" w:color="7E7E7E" w:themeColor="text1" w:themeTint="80" w:sz="4" w:space="0"/>
              <w:insideH w:val="single" w:sz="4" w:space="0"/>
            </w:tcBorders>
          </w:tcPr>
          <w:p w14:paraId="66298C3C">
            <w:pPr>
              <w:bidi/>
              <w:spacing w:after="0" w:line="360" w:lineRule="auto"/>
              <w:ind w:right="-90"/>
              <w:jc w:val="lowKashida"/>
              <w:rPr>
                <w:rFonts w:asciiTheme="majorBidi" w:hAnsiTheme="majorBidi" w:cstheme="majorBidi"/>
                <w:b w:val="0"/>
                <w:bCs w:val="0"/>
                <w:color w:val="000000" w:themeColor="text1"/>
                <w:sz w:val="20"/>
                <w:szCs w:val="20"/>
                <w:rtl/>
                <w14:textFill>
                  <w14:solidFill>
                    <w14:schemeClr w14:val="tx1"/>
                  </w14:solidFill>
                </w14:textFill>
              </w:rPr>
            </w:pPr>
            <w:r>
              <w:rPr>
                <w:rFonts w:asciiTheme="majorBidi" w:hAnsiTheme="majorBidi" w:cstheme="majorBidi"/>
                <w:b w:val="0"/>
                <w:bCs w:val="0"/>
                <w:color w:val="000000" w:themeColor="text1"/>
                <w:sz w:val="20"/>
                <w:szCs w:val="20"/>
                <w:rtl/>
                <w14:textFill>
                  <w14:solidFill>
                    <w14:schemeClr w14:val="tx1"/>
                  </w14:solidFill>
                </w14:textFill>
              </w:rPr>
              <w:t>الرتبة</w:t>
            </w:r>
          </w:p>
        </w:tc>
        <w:tc>
          <w:tcPr>
            <w:tcW w:w="993" w:type="dxa"/>
            <w:tcBorders>
              <w:bottom w:val="single" w:color="7E7E7E" w:themeColor="text1" w:themeTint="80" w:sz="4" w:space="0"/>
              <w:insideH w:val="single" w:sz="4" w:space="0"/>
            </w:tcBorders>
          </w:tcPr>
          <w:p w14:paraId="62F5C4F1">
            <w:pPr>
              <w:bidi/>
              <w:spacing w:after="0" w:line="360" w:lineRule="auto"/>
              <w:ind w:right="-90"/>
              <w:jc w:val="lowKashida"/>
              <w:rPr>
                <w:rFonts w:asciiTheme="majorBidi" w:hAnsiTheme="majorBidi" w:cstheme="majorBidi"/>
                <w:b w:val="0"/>
                <w:bCs w:val="0"/>
                <w:color w:val="000000" w:themeColor="text1"/>
                <w:sz w:val="20"/>
                <w:szCs w:val="20"/>
                <w:rtl/>
                <w14:textFill>
                  <w14:solidFill>
                    <w14:schemeClr w14:val="tx1"/>
                  </w14:solidFill>
                </w14:textFill>
              </w:rPr>
            </w:pPr>
            <w:r>
              <w:rPr>
                <w:rFonts w:asciiTheme="majorBidi" w:hAnsiTheme="majorBidi" w:cstheme="majorBidi"/>
                <w:b w:val="0"/>
                <w:bCs w:val="0"/>
                <w:color w:val="000000" w:themeColor="text1"/>
                <w:sz w:val="20"/>
                <w:szCs w:val="20"/>
                <w:rtl/>
                <w14:textFill>
                  <w14:solidFill>
                    <w14:schemeClr w14:val="tx1"/>
                  </w14:solidFill>
                </w14:textFill>
              </w:rPr>
              <w:t>المستوى</w:t>
            </w:r>
          </w:p>
        </w:tc>
      </w:tr>
      <w:tr w14:paraId="722C4003">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5958" w:type="dxa"/>
            <w:tcBorders>
              <w:top w:val="single" w:color="7E7E7E" w:themeColor="text1" w:themeTint="80" w:sz="4" w:space="0"/>
              <w:bottom w:val="single" w:color="7E7E7E" w:themeColor="text1" w:themeTint="80" w:sz="4" w:space="0"/>
              <w:insideH w:val="single" w:sz="4" w:space="0"/>
            </w:tcBorders>
          </w:tcPr>
          <w:p w14:paraId="25847B99">
            <w:pPr>
              <w:pStyle w:val="19"/>
              <w:numPr>
                <w:ilvl w:val="0"/>
                <w:numId w:val="3"/>
              </w:numPr>
              <w:bidi/>
              <w:spacing w:after="0" w:line="360" w:lineRule="auto"/>
              <w:jc w:val="lowKashida"/>
              <w:rPr>
                <w:rFonts w:asciiTheme="majorBidi" w:hAnsiTheme="majorBidi" w:cstheme="majorBidi"/>
                <w:b w:val="0"/>
                <w:bCs w:val="0"/>
                <w:sz w:val="20"/>
                <w:szCs w:val="20"/>
                <w:lang w:bidi="ar-JO"/>
              </w:rPr>
            </w:pPr>
            <w:r>
              <w:rPr>
                <w:rFonts w:asciiTheme="majorBidi" w:hAnsiTheme="majorBidi" w:cstheme="majorBidi"/>
                <w:b w:val="0"/>
                <w:bCs w:val="0"/>
                <w:sz w:val="20"/>
                <w:szCs w:val="20"/>
                <w:rtl/>
                <w:lang w:bidi="ar-JO"/>
              </w:rPr>
              <w:t>هل تعرف ما هو المرض النفسي؟</w:t>
            </w:r>
          </w:p>
        </w:tc>
        <w:tc>
          <w:tcPr>
            <w:tcW w:w="708" w:type="dxa"/>
            <w:tcBorders>
              <w:top w:val="single" w:color="7E7E7E" w:themeColor="text1" w:themeTint="80" w:sz="4" w:space="0"/>
              <w:bottom w:val="single" w:color="7E7E7E" w:themeColor="text1" w:themeTint="80" w:sz="4" w:space="0"/>
              <w:insideH w:val="single" w:sz="4" w:space="0"/>
            </w:tcBorders>
          </w:tcPr>
          <w:p w14:paraId="6686749F">
            <w:pPr>
              <w:bidi/>
              <w:spacing w:after="0" w:line="360" w:lineRule="auto"/>
              <w:ind w:right="-90"/>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1.79</w:t>
            </w:r>
          </w:p>
        </w:tc>
        <w:tc>
          <w:tcPr>
            <w:tcW w:w="993" w:type="dxa"/>
            <w:tcBorders>
              <w:top w:val="single" w:color="7E7E7E" w:themeColor="text1" w:themeTint="80" w:sz="4" w:space="0"/>
              <w:bottom w:val="single" w:color="7E7E7E" w:themeColor="text1" w:themeTint="80" w:sz="4" w:space="0"/>
              <w:insideH w:val="single" w:sz="4" w:space="0"/>
            </w:tcBorders>
          </w:tcPr>
          <w:p w14:paraId="4F34E202">
            <w:pPr>
              <w:bidi/>
              <w:spacing w:after="0" w:line="360" w:lineRule="auto"/>
              <w:ind w:right="-90"/>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0.98</w:t>
            </w:r>
          </w:p>
        </w:tc>
        <w:tc>
          <w:tcPr>
            <w:tcW w:w="708" w:type="dxa"/>
            <w:tcBorders>
              <w:top w:val="single" w:color="7E7E7E" w:themeColor="text1" w:themeTint="80" w:sz="4" w:space="0"/>
              <w:bottom w:val="single" w:color="7E7E7E" w:themeColor="text1" w:themeTint="80" w:sz="4" w:space="0"/>
              <w:insideH w:val="single" w:sz="4" w:space="0"/>
            </w:tcBorders>
          </w:tcPr>
          <w:p w14:paraId="3ACF564C">
            <w:pPr>
              <w:bidi/>
              <w:spacing w:after="0" w:line="360" w:lineRule="auto"/>
              <w:ind w:right="-90"/>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10</w:t>
            </w:r>
          </w:p>
        </w:tc>
        <w:tc>
          <w:tcPr>
            <w:tcW w:w="993" w:type="dxa"/>
            <w:tcBorders>
              <w:top w:val="single" w:color="7E7E7E" w:themeColor="text1" w:themeTint="80" w:sz="4" w:space="0"/>
              <w:bottom w:val="single" w:color="7E7E7E" w:themeColor="text1" w:themeTint="80" w:sz="4" w:space="0"/>
              <w:insideH w:val="single" w:sz="4" w:space="0"/>
            </w:tcBorders>
          </w:tcPr>
          <w:p w14:paraId="3F2E66D8">
            <w:pPr>
              <w:bidi/>
              <w:spacing w:after="0" w:line="360" w:lineRule="auto"/>
              <w:ind w:right="-90"/>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متوسط</w:t>
            </w:r>
          </w:p>
        </w:tc>
      </w:tr>
      <w:tr w14:paraId="4D508B81">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5958" w:type="dxa"/>
          </w:tcPr>
          <w:p w14:paraId="26A0A13C">
            <w:pPr>
              <w:pStyle w:val="19"/>
              <w:numPr>
                <w:ilvl w:val="0"/>
                <w:numId w:val="3"/>
              </w:numPr>
              <w:bidi/>
              <w:spacing w:after="0" w:line="360" w:lineRule="auto"/>
              <w:jc w:val="lowKashida"/>
              <w:rPr>
                <w:rFonts w:asciiTheme="majorBidi" w:hAnsiTheme="majorBidi" w:cstheme="majorBidi"/>
                <w:b w:val="0"/>
                <w:bCs w:val="0"/>
                <w:sz w:val="20"/>
                <w:szCs w:val="20"/>
                <w:lang w:bidi="ar-JO"/>
              </w:rPr>
            </w:pPr>
            <w:r>
              <w:rPr>
                <w:rFonts w:asciiTheme="majorBidi" w:hAnsiTheme="majorBidi" w:cstheme="majorBidi"/>
                <w:b w:val="0"/>
                <w:bCs w:val="0"/>
                <w:sz w:val="20"/>
                <w:szCs w:val="20"/>
                <w:rtl/>
                <w:lang w:bidi="ar-JO"/>
              </w:rPr>
              <w:t>هل يمكن لأي شخص أن يصاب بمرض نفسي؟</w:t>
            </w:r>
          </w:p>
        </w:tc>
        <w:tc>
          <w:tcPr>
            <w:tcW w:w="708" w:type="dxa"/>
          </w:tcPr>
          <w:p w14:paraId="7B56553B">
            <w:pPr>
              <w:bidi/>
              <w:spacing w:after="0" w:line="360" w:lineRule="auto"/>
              <w:ind w:right="-90"/>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1.34</w:t>
            </w:r>
          </w:p>
        </w:tc>
        <w:tc>
          <w:tcPr>
            <w:tcW w:w="993" w:type="dxa"/>
          </w:tcPr>
          <w:p w14:paraId="3A10C1DA">
            <w:pPr>
              <w:bidi/>
              <w:spacing w:after="0" w:line="360" w:lineRule="auto"/>
              <w:ind w:right="-90"/>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0.76</w:t>
            </w:r>
          </w:p>
        </w:tc>
        <w:tc>
          <w:tcPr>
            <w:tcW w:w="708" w:type="dxa"/>
          </w:tcPr>
          <w:p w14:paraId="2FE9A721">
            <w:pPr>
              <w:bidi/>
              <w:spacing w:after="0" w:line="360" w:lineRule="auto"/>
              <w:ind w:right="-90"/>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13</w:t>
            </w:r>
          </w:p>
        </w:tc>
        <w:tc>
          <w:tcPr>
            <w:tcW w:w="993" w:type="dxa"/>
          </w:tcPr>
          <w:p w14:paraId="31BD7C26">
            <w:pPr>
              <w:bidi/>
              <w:spacing w:after="0" w:line="360" w:lineRule="auto"/>
              <w:ind w:right="-90"/>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منخفض</w:t>
            </w:r>
          </w:p>
        </w:tc>
      </w:tr>
      <w:tr w14:paraId="15822E36">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5958" w:type="dxa"/>
            <w:tcBorders>
              <w:top w:val="single" w:color="7E7E7E" w:themeColor="text1" w:themeTint="80" w:sz="4" w:space="0"/>
              <w:bottom w:val="single" w:color="7E7E7E" w:themeColor="text1" w:themeTint="80" w:sz="4" w:space="0"/>
              <w:insideH w:val="single" w:sz="4" w:space="0"/>
            </w:tcBorders>
          </w:tcPr>
          <w:p w14:paraId="2604BB91">
            <w:pPr>
              <w:pStyle w:val="19"/>
              <w:numPr>
                <w:ilvl w:val="0"/>
                <w:numId w:val="3"/>
              </w:numPr>
              <w:bidi/>
              <w:spacing w:after="0" w:line="360" w:lineRule="auto"/>
              <w:jc w:val="lowKashida"/>
              <w:rPr>
                <w:rFonts w:asciiTheme="majorBidi" w:hAnsiTheme="majorBidi" w:cstheme="majorBidi"/>
                <w:b w:val="0"/>
                <w:bCs w:val="0"/>
                <w:sz w:val="20"/>
                <w:szCs w:val="20"/>
                <w:lang w:bidi="ar-JO"/>
              </w:rPr>
            </w:pPr>
            <w:r>
              <w:rPr>
                <w:rFonts w:asciiTheme="majorBidi" w:hAnsiTheme="majorBidi" w:cstheme="majorBidi"/>
                <w:b w:val="0"/>
                <w:bCs w:val="0"/>
                <w:sz w:val="20"/>
                <w:szCs w:val="20"/>
                <w:rtl/>
                <w:lang w:bidi="ar-JO"/>
              </w:rPr>
              <w:t>هل تعرف الفرق بين المرض النفسي والإعاقة الذهنية؟</w:t>
            </w:r>
          </w:p>
        </w:tc>
        <w:tc>
          <w:tcPr>
            <w:tcW w:w="708" w:type="dxa"/>
            <w:tcBorders>
              <w:top w:val="single" w:color="7E7E7E" w:themeColor="text1" w:themeTint="80" w:sz="4" w:space="0"/>
              <w:bottom w:val="single" w:color="7E7E7E" w:themeColor="text1" w:themeTint="80" w:sz="4" w:space="0"/>
              <w:insideH w:val="single" w:sz="4" w:space="0"/>
            </w:tcBorders>
          </w:tcPr>
          <w:p w14:paraId="1E9C6C24">
            <w:pPr>
              <w:bidi/>
              <w:spacing w:after="0" w:line="360" w:lineRule="auto"/>
              <w:ind w:right="-90"/>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2.78</w:t>
            </w:r>
          </w:p>
        </w:tc>
        <w:tc>
          <w:tcPr>
            <w:tcW w:w="993" w:type="dxa"/>
            <w:tcBorders>
              <w:top w:val="single" w:color="7E7E7E" w:themeColor="text1" w:themeTint="80" w:sz="4" w:space="0"/>
              <w:bottom w:val="single" w:color="7E7E7E" w:themeColor="text1" w:themeTint="80" w:sz="4" w:space="0"/>
              <w:insideH w:val="single" w:sz="4" w:space="0"/>
            </w:tcBorders>
          </w:tcPr>
          <w:p w14:paraId="71ED58F9">
            <w:pPr>
              <w:bidi/>
              <w:spacing w:after="0" w:line="360" w:lineRule="auto"/>
              <w:ind w:right="-90"/>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0.63</w:t>
            </w:r>
          </w:p>
        </w:tc>
        <w:tc>
          <w:tcPr>
            <w:tcW w:w="708" w:type="dxa"/>
            <w:tcBorders>
              <w:top w:val="single" w:color="7E7E7E" w:themeColor="text1" w:themeTint="80" w:sz="4" w:space="0"/>
              <w:bottom w:val="single" w:color="7E7E7E" w:themeColor="text1" w:themeTint="80" w:sz="4" w:space="0"/>
              <w:insideH w:val="single" w:sz="4" w:space="0"/>
            </w:tcBorders>
          </w:tcPr>
          <w:p w14:paraId="397B35A1">
            <w:pPr>
              <w:bidi/>
              <w:spacing w:after="0" w:line="360" w:lineRule="auto"/>
              <w:jc w:val="lowKashida"/>
              <w:rPr>
                <w:rFonts w:asciiTheme="majorBidi" w:hAnsiTheme="majorBidi" w:cstheme="majorBidi"/>
                <w:sz w:val="20"/>
                <w:szCs w:val="20"/>
                <w:rtl/>
              </w:rPr>
            </w:pPr>
            <w:r>
              <w:rPr>
                <w:rFonts w:asciiTheme="majorBidi" w:hAnsiTheme="majorBidi" w:cstheme="majorBidi"/>
                <w:sz w:val="20"/>
                <w:szCs w:val="20"/>
                <w:rtl/>
              </w:rPr>
              <w:t>2</w:t>
            </w:r>
          </w:p>
        </w:tc>
        <w:tc>
          <w:tcPr>
            <w:tcW w:w="993" w:type="dxa"/>
            <w:tcBorders>
              <w:top w:val="single" w:color="7E7E7E" w:themeColor="text1" w:themeTint="80" w:sz="4" w:space="0"/>
              <w:bottom w:val="single" w:color="7E7E7E" w:themeColor="text1" w:themeTint="80" w:sz="4" w:space="0"/>
              <w:insideH w:val="single" w:sz="4" w:space="0"/>
            </w:tcBorders>
          </w:tcPr>
          <w:p w14:paraId="46C52DFD">
            <w:pPr>
              <w:bidi/>
              <w:spacing w:after="0" w:line="360" w:lineRule="auto"/>
              <w:jc w:val="lowKashida"/>
              <w:rPr>
                <w:rFonts w:asciiTheme="majorBidi" w:hAnsiTheme="majorBidi" w:cstheme="majorBidi"/>
                <w:sz w:val="20"/>
                <w:szCs w:val="20"/>
              </w:rPr>
            </w:pPr>
            <w:r>
              <w:rPr>
                <w:rFonts w:asciiTheme="majorBidi" w:hAnsiTheme="majorBidi" w:cstheme="majorBidi"/>
                <w:sz w:val="20"/>
                <w:szCs w:val="20"/>
                <w:rtl/>
              </w:rPr>
              <w:t>مرتفع</w:t>
            </w:r>
          </w:p>
        </w:tc>
      </w:tr>
      <w:tr w14:paraId="7286BAFB">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5958" w:type="dxa"/>
          </w:tcPr>
          <w:p w14:paraId="3E33854A">
            <w:pPr>
              <w:pStyle w:val="19"/>
              <w:numPr>
                <w:ilvl w:val="0"/>
                <w:numId w:val="3"/>
              </w:numPr>
              <w:bidi/>
              <w:spacing w:after="0" w:line="360" w:lineRule="auto"/>
              <w:jc w:val="lowKashida"/>
              <w:rPr>
                <w:rFonts w:asciiTheme="majorBidi" w:hAnsiTheme="majorBidi" w:cstheme="majorBidi"/>
                <w:b w:val="0"/>
                <w:bCs w:val="0"/>
                <w:sz w:val="20"/>
                <w:szCs w:val="20"/>
                <w:lang w:bidi="ar-JO"/>
              </w:rPr>
            </w:pPr>
            <w:r>
              <w:rPr>
                <w:rFonts w:asciiTheme="majorBidi" w:hAnsiTheme="majorBidi" w:cstheme="majorBidi"/>
                <w:b w:val="0"/>
                <w:bCs w:val="0"/>
                <w:sz w:val="20"/>
                <w:szCs w:val="20"/>
                <w:rtl/>
                <w:lang w:bidi="ar-JO"/>
              </w:rPr>
              <w:t>هل تستطيع تحديد أي من الاضطرابات التالية ليست مرضًا نفسيًا؟</w:t>
            </w:r>
          </w:p>
        </w:tc>
        <w:tc>
          <w:tcPr>
            <w:tcW w:w="708" w:type="dxa"/>
          </w:tcPr>
          <w:p w14:paraId="598D4026">
            <w:pPr>
              <w:bidi/>
              <w:spacing w:after="0" w:line="360" w:lineRule="auto"/>
              <w:ind w:right="-90"/>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2.80</w:t>
            </w:r>
          </w:p>
        </w:tc>
        <w:tc>
          <w:tcPr>
            <w:tcW w:w="993" w:type="dxa"/>
          </w:tcPr>
          <w:p w14:paraId="1AE2CA99">
            <w:pPr>
              <w:bidi/>
              <w:spacing w:after="0" w:line="360" w:lineRule="auto"/>
              <w:ind w:right="-90"/>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0.56</w:t>
            </w:r>
          </w:p>
        </w:tc>
        <w:tc>
          <w:tcPr>
            <w:tcW w:w="708" w:type="dxa"/>
          </w:tcPr>
          <w:p w14:paraId="09830C6D">
            <w:pPr>
              <w:bidi/>
              <w:spacing w:after="0" w:line="360" w:lineRule="auto"/>
              <w:jc w:val="lowKashida"/>
              <w:rPr>
                <w:rFonts w:asciiTheme="majorBidi" w:hAnsiTheme="majorBidi" w:cstheme="majorBidi"/>
                <w:sz w:val="20"/>
                <w:szCs w:val="20"/>
                <w:rtl/>
              </w:rPr>
            </w:pPr>
            <w:r>
              <w:rPr>
                <w:rFonts w:asciiTheme="majorBidi" w:hAnsiTheme="majorBidi" w:cstheme="majorBidi"/>
                <w:sz w:val="20"/>
                <w:szCs w:val="20"/>
                <w:rtl/>
              </w:rPr>
              <w:t>1</w:t>
            </w:r>
          </w:p>
        </w:tc>
        <w:tc>
          <w:tcPr>
            <w:tcW w:w="993" w:type="dxa"/>
          </w:tcPr>
          <w:p w14:paraId="038077F6">
            <w:pPr>
              <w:bidi/>
              <w:spacing w:after="0" w:line="360" w:lineRule="auto"/>
              <w:jc w:val="lowKashida"/>
              <w:rPr>
                <w:rFonts w:asciiTheme="majorBidi" w:hAnsiTheme="majorBidi" w:cstheme="majorBidi"/>
                <w:sz w:val="20"/>
                <w:szCs w:val="20"/>
              </w:rPr>
            </w:pPr>
            <w:r>
              <w:rPr>
                <w:rFonts w:asciiTheme="majorBidi" w:hAnsiTheme="majorBidi" w:cstheme="majorBidi"/>
                <w:sz w:val="20"/>
                <w:szCs w:val="20"/>
                <w:rtl/>
              </w:rPr>
              <w:t>مرتفع</w:t>
            </w:r>
          </w:p>
        </w:tc>
      </w:tr>
      <w:tr w14:paraId="413864F5">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5958" w:type="dxa"/>
            <w:tcBorders>
              <w:top w:val="single" w:color="7E7E7E" w:themeColor="text1" w:themeTint="80" w:sz="4" w:space="0"/>
              <w:bottom w:val="single" w:color="7E7E7E" w:themeColor="text1" w:themeTint="80" w:sz="4" w:space="0"/>
              <w:insideH w:val="single" w:sz="4" w:space="0"/>
            </w:tcBorders>
          </w:tcPr>
          <w:p w14:paraId="35C02C3D">
            <w:pPr>
              <w:pStyle w:val="19"/>
              <w:numPr>
                <w:ilvl w:val="0"/>
                <w:numId w:val="3"/>
              </w:numPr>
              <w:bidi/>
              <w:spacing w:after="0" w:line="360" w:lineRule="auto"/>
              <w:jc w:val="lowKashida"/>
              <w:rPr>
                <w:rFonts w:asciiTheme="majorBidi" w:hAnsiTheme="majorBidi" w:cstheme="majorBidi"/>
                <w:b w:val="0"/>
                <w:bCs w:val="0"/>
                <w:sz w:val="20"/>
                <w:szCs w:val="20"/>
                <w:lang w:bidi="ar-JO"/>
              </w:rPr>
            </w:pPr>
            <w:r>
              <w:rPr>
                <w:rFonts w:asciiTheme="majorBidi" w:hAnsiTheme="majorBidi" w:cstheme="majorBidi"/>
                <w:b w:val="0"/>
                <w:bCs w:val="0"/>
                <w:sz w:val="20"/>
                <w:szCs w:val="20"/>
                <w:rtl/>
                <w:lang w:bidi="ar-JO"/>
              </w:rPr>
              <w:t>هل تعتقد أن الإصابة بمرض نفسي تعادل الإصابة بإعاقة ذهنية؟</w:t>
            </w:r>
          </w:p>
        </w:tc>
        <w:tc>
          <w:tcPr>
            <w:tcW w:w="708" w:type="dxa"/>
            <w:tcBorders>
              <w:top w:val="single" w:color="7E7E7E" w:themeColor="text1" w:themeTint="80" w:sz="4" w:space="0"/>
              <w:bottom w:val="single" w:color="7E7E7E" w:themeColor="text1" w:themeTint="80" w:sz="4" w:space="0"/>
              <w:insideH w:val="single" w:sz="4" w:space="0"/>
            </w:tcBorders>
          </w:tcPr>
          <w:p w14:paraId="286E0025">
            <w:pPr>
              <w:bidi/>
              <w:spacing w:after="0" w:line="360" w:lineRule="auto"/>
              <w:ind w:right="-90"/>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2.56</w:t>
            </w:r>
          </w:p>
        </w:tc>
        <w:tc>
          <w:tcPr>
            <w:tcW w:w="993" w:type="dxa"/>
            <w:tcBorders>
              <w:top w:val="single" w:color="7E7E7E" w:themeColor="text1" w:themeTint="80" w:sz="4" w:space="0"/>
              <w:bottom w:val="single" w:color="7E7E7E" w:themeColor="text1" w:themeTint="80" w:sz="4" w:space="0"/>
              <w:insideH w:val="single" w:sz="4" w:space="0"/>
            </w:tcBorders>
          </w:tcPr>
          <w:p w14:paraId="1F085912">
            <w:pPr>
              <w:bidi/>
              <w:spacing w:after="0" w:line="360" w:lineRule="auto"/>
              <w:ind w:right="-90"/>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0.77</w:t>
            </w:r>
          </w:p>
        </w:tc>
        <w:tc>
          <w:tcPr>
            <w:tcW w:w="708" w:type="dxa"/>
            <w:tcBorders>
              <w:top w:val="single" w:color="7E7E7E" w:themeColor="text1" w:themeTint="80" w:sz="4" w:space="0"/>
              <w:bottom w:val="single" w:color="7E7E7E" w:themeColor="text1" w:themeTint="80" w:sz="4" w:space="0"/>
              <w:insideH w:val="single" w:sz="4" w:space="0"/>
            </w:tcBorders>
          </w:tcPr>
          <w:p w14:paraId="1E4DC1E9">
            <w:pPr>
              <w:bidi/>
              <w:spacing w:after="0" w:line="360" w:lineRule="auto"/>
              <w:jc w:val="lowKashida"/>
              <w:rPr>
                <w:rFonts w:asciiTheme="majorBidi" w:hAnsiTheme="majorBidi" w:cstheme="majorBidi"/>
                <w:sz w:val="20"/>
                <w:szCs w:val="20"/>
                <w:rtl/>
              </w:rPr>
            </w:pPr>
            <w:r>
              <w:rPr>
                <w:rFonts w:asciiTheme="majorBidi" w:hAnsiTheme="majorBidi" w:cstheme="majorBidi"/>
                <w:sz w:val="20"/>
                <w:szCs w:val="20"/>
                <w:rtl/>
              </w:rPr>
              <w:t>4</w:t>
            </w:r>
          </w:p>
        </w:tc>
        <w:tc>
          <w:tcPr>
            <w:tcW w:w="993" w:type="dxa"/>
            <w:tcBorders>
              <w:top w:val="single" w:color="7E7E7E" w:themeColor="text1" w:themeTint="80" w:sz="4" w:space="0"/>
              <w:bottom w:val="single" w:color="7E7E7E" w:themeColor="text1" w:themeTint="80" w:sz="4" w:space="0"/>
              <w:insideH w:val="single" w:sz="4" w:space="0"/>
            </w:tcBorders>
          </w:tcPr>
          <w:p w14:paraId="2814CE3B">
            <w:pPr>
              <w:bidi/>
              <w:spacing w:after="0" w:line="360" w:lineRule="auto"/>
              <w:jc w:val="lowKashida"/>
              <w:rPr>
                <w:rFonts w:asciiTheme="majorBidi" w:hAnsiTheme="majorBidi" w:cstheme="majorBidi"/>
                <w:sz w:val="20"/>
                <w:szCs w:val="20"/>
              </w:rPr>
            </w:pPr>
            <w:r>
              <w:rPr>
                <w:rFonts w:asciiTheme="majorBidi" w:hAnsiTheme="majorBidi" w:cstheme="majorBidi"/>
                <w:sz w:val="20"/>
                <w:szCs w:val="20"/>
                <w:rtl/>
              </w:rPr>
              <w:t>مرتفع</w:t>
            </w:r>
          </w:p>
        </w:tc>
      </w:tr>
      <w:tr w14:paraId="547F5757">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5958" w:type="dxa"/>
          </w:tcPr>
          <w:p w14:paraId="2B85D556">
            <w:pPr>
              <w:pStyle w:val="19"/>
              <w:numPr>
                <w:ilvl w:val="0"/>
                <w:numId w:val="3"/>
              </w:numPr>
              <w:bidi/>
              <w:spacing w:after="0" w:line="360" w:lineRule="auto"/>
              <w:jc w:val="lowKashida"/>
              <w:rPr>
                <w:rFonts w:asciiTheme="majorBidi" w:hAnsiTheme="majorBidi" w:cstheme="majorBidi"/>
                <w:b w:val="0"/>
                <w:bCs w:val="0"/>
                <w:sz w:val="20"/>
                <w:szCs w:val="20"/>
                <w:lang w:bidi="ar-JO"/>
              </w:rPr>
            </w:pPr>
            <w:r>
              <w:rPr>
                <w:rFonts w:asciiTheme="majorBidi" w:hAnsiTheme="majorBidi" w:cstheme="majorBidi"/>
                <w:b w:val="0"/>
                <w:bCs w:val="0"/>
                <w:sz w:val="20"/>
                <w:szCs w:val="20"/>
                <w:rtl/>
                <w:lang w:bidi="ar-JO"/>
              </w:rPr>
              <w:t>هل تعتقد أن الشخص المصاب بمرض نفسي يمكنه أن يعيش حياة طبيعية؟</w:t>
            </w:r>
          </w:p>
        </w:tc>
        <w:tc>
          <w:tcPr>
            <w:tcW w:w="708" w:type="dxa"/>
          </w:tcPr>
          <w:p w14:paraId="4855FEE9">
            <w:pPr>
              <w:bidi/>
              <w:spacing w:after="0" w:line="360" w:lineRule="auto"/>
              <w:ind w:right="-90"/>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2.38</w:t>
            </w:r>
          </w:p>
        </w:tc>
        <w:tc>
          <w:tcPr>
            <w:tcW w:w="993" w:type="dxa"/>
          </w:tcPr>
          <w:p w14:paraId="2621131A">
            <w:pPr>
              <w:bidi/>
              <w:spacing w:after="0" w:line="360" w:lineRule="auto"/>
              <w:ind w:right="-90"/>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0.80</w:t>
            </w:r>
          </w:p>
        </w:tc>
        <w:tc>
          <w:tcPr>
            <w:tcW w:w="708" w:type="dxa"/>
          </w:tcPr>
          <w:p w14:paraId="5DE699D8">
            <w:pPr>
              <w:bidi/>
              <w:spacing w:after="0" w:line="360" w:lineRule="auto"/>
              <w:jc w:val="lowKashida"/>
              <w:rPr>
                <w:rFonts w:asciiTheme="majorBidi" w:hAnsiTheme="majorBidi" w:cstheme="majorBidi"/>
                <w:sz w:val="20"/>
                <w:szCs w:val="20"/>
                <w:rtl/>
              </w:rPr>
            </w:pPr>
            <w:r>
              <w:rPr>
                <w:rFonts w:asciiTheme="majorBidi" w:hAnsiTheme="majorBidi" w:cstheme="majorBidi"/>
                <w:sz w:val="20"/>
                <w:szCs w:val="20"/>
                <w:rtl/>
              </w:rPr>
              <w:t>7</w:t>
            </w:r>
          </w:p>
        </w:tc>
        <w:tc>
          <w:tcPr>
            <w:tcW w:w="993" w:type="dxa"/>
          </w:tcPr>
          <w:p w14:paraId="72A8E5A8">
            <w:pPr>
              <w:bidi/>
              <w:spacing w:after="0" w:line="360" w:lineRule="auto"/>
              <w:jc w:val="lowKashida"/>
              <w:rPr>
                <w:rFonts w:asciiTheme="majorBidi" w:hAnsiTheme="majorBidi" w:cstheme="majorBidi"/>
                <w:sz w:val="20"/>
                <w:szCs w:val="20"/>
              </w:rPr>
            </w:pPr>
            <w:r>
              <w:rPr>
                <w:rFonts w:asciiTheme="majorBidi" w:hAnsiTheme="majorBidi" w:cstheme="majorBidi"/>
                <w:sz w:val="20"/>
                <w:szCs w:val="20"/>
                <w:rtl/>
              </w:rPr>
              <w:t>مرتفع</w:t>
            </w:r>
          </w:p>
        </w:tc>
      </w:tr>
      <w:tr w14:paraId="3AF130CE">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5958" w:type="dxa"/>
            <w:tcBorders>
              <w:top w:val="single" w:color="7E7E7E" w:themeColor="text1" w:themeTint="80" w:sz="4" w:space="0"/>
              <w:bottom w:val="single" w:color="7E7E7E" w:themeColor="text1" w:themeTint="80" w:sz="4" w:space="0"/>
              <w:insideH w:val="single" w:sz="4" w:space="0"/>
            </w:tcBorders>
          </w:tcPr>
          <w:p w14:paraId="34468171">
            <w:pPr>
              <w:pStyle w:val="19"/>
              <w:numPr>
                <w:ilvl w:val="0"/>
                <w:numId w:val="3"/>
              </w:numPr>
              <w:bidi/>
              <w:spacing w:after="0" w:line="360" w:lineRule="auto"/>
              <w:jc w:val="lowKashida"/>
              <w:rPr>
                <w:rFonts w:asciiTheme="majorBidi" w:hAnsiTheme="majorBidi" w:cstheme="majorBidi"/>
                <w:b w:val="0"/>
                <w:bCs w:val="0"/>
                <w:sz w:val="20"/>
                <w:szCs w:val="20"/>
                <w:lang w:bidi="ar-JO"/>
              </w:rPr>
            </w:pPr>
            <w:r>
              <w:rPr>
                <w:rFonts w:asciiTheme="majorBidi" w:hAnsiTheme="majorBidi" w:cstheme="majorBidi"/>
                <w:b w:val="0"/>
                <w:bCs w:val="0"/>
                <w:sz w:val="20"/>
                <w:szCs w:val="20"/>
                <w:rtl/>
                <w:lang w:bidi="ar-JO"/>
              </w:rPr>
              <w:t>هل تعتقد أن المرض النفسي قابل للعلاج؟</w:t>
            </w:r>
          </w:p>
        </w:tc>
        <w:tc>
          <w:tcPr>
            <w:tcW w:w="708" w:type="dxa"/>
            <w:tcBorders>
              <w:top w:val="single" w:color="7E7E7E" w:themeColor="text1" w:themeTint="80" w:sz="4" w:space="0"/>
              <w:bottom w:val="single" w:color="7E7E7E" w:themeColor="text1" w:themeTint="80" w:sz="4" w:space="0"/>
              <w:insideH w:val="single" w:sz="4" w:space="0"/>
            </w:tcBorders>
          </w:tcPr>
          <w:p w14:paraId="0FE0A7EB">
            <w:pPr>
              <w:bidi/>
              <w:spacing w:after="0" w:line="360" w:lineRule="auto"/>
              <w:ind w:right="-90"/>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1.65</w:t>
            </w:r>
          </w:p>
        </w:tc>
        <w:tc>
          <w:tcPr>
            <w:tcW w:w="993" w:type="dxa"/>
            <w:tcBorders>
              <w:top w:val="single" w:color="7E7E7E" w:themeColor="text1" w:themeTint="80" w:sz="4" w:space="0"/>
              <w:bottom w:val="single" w:color="7E7E7E" w:themeColor="text1" w:themeTint="80" w:sz="4" w:space="0"/>
              <w:insideH w:val="single" w:sz="4" w:space="0"/>
            </w:tcBorders>
          </w:tcPr>
          <w:p w14:paraId="38968A02">
            <w:pPr>
              <w:bidi/>
              <w:spacing w:after="0" w:line="360" w:lineRule="auto"/>
              <w:ind w:right="-90"/>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0.84</w:t>
            </w:r>
          </w:p>
        </w:tc>
        <w:tc>
          <w:tcPr>
            <w:tcW w:w="708" w:type="dxa"/>
            <w:tcBorders>
              <w:top w:val="single" w:color="7E7E7E" w:themeColor="text1" w:themeTint="80" w:sz="4" w:space="0"/>
              <w:bottom w:val="single" w:color="7E7E7E" w:themeColor="text1" w:themeTint="80" w:sz="4" w:space="0"/>
              <w:insideH w:val="single" w:sz="4" w:space="0"/>
            </w:tcBorders>
          </w:tcPr>
          <w:p w14:paraId="02394BF1">
            <w:pPr>
              <w:bidi/>
              <w:spacing w:after="0" w:line="360" w:lineRule="auto"/>
              <w:jc w:val="lowKashida"/>
              <w:rPr>
                <w:rFonts w:asciiTheme="majorBidi" w:hAnsiTheme="majorBidi" w:cstheme="majorBidi"/>
                <w:sz w:val="20"/>
                <w:szCs w:val="20"/>
                <w:rtl/>
              </w:rPr>
            </w:pPr>
            <w:r>
              <w:rPr>
                <w:rFonts w:asciiTheme="majorBidi" w:hAnsiTheme="majorBidi" w:cstheme="majorBidi"/>
                <w:sz w:val="20"/>
                <w:szCs w:val="20"/>
                <w:rtl/>
              </w:rPr>
              <w:t>11</w:t>
            </w:r>
          </w:p>
        </w:tc>
        <w:tc>
          <w:tcPr>
            <w:tcW w:w="993" w:type="dxa"/>
            <w:tcBorders>
              <w:top w:val="single" w:color="7E7E7E" w:themeColor="text1" w:themeTint="80" w:sz="4" w:space="0"/>
              <w:bottom w:val="single" w:color="7E7E7E" w:themeColor="text1" w:themeTint="80" w:sz="4" w:space="0"/>
              <w:insideH w:val="single" w:sz="4" w:space="0"/>
            </w:tcBorders>
          </w:tcPr>
          <w:p w14:paraId="6B230E87">
            <w:pPr>
              <w:bidi/>
              <w:spacing w:after="0" w:line="360" w:lineRule="auto"/>
              <w:jc w:val="lowKashida"/>
              <w:rPr>
                <w:rFonts w:asciiTheme="majorBidi" w:hAnsiTheme="majorBidi" w:cstheme="majorBidi"/>
                <w:sz w:val="20"/>
                <w:szCs w:val="20"/>
              </w:rPr>
            </w:pPr>
            <w:r>
              <w:rPr>
                <w:rFonts w:asciiTheme="majorBidi" w:hAnsiTheme="majorBidi" w:cstheme="majorBidi"/>
                <w:sz w:val="20"/>
                <w:szCs w:val="20"/>
                <w:rtl/>
              </w:rPr>
              <w:t>منخفض</w:t>
            </w:r>
          </w:p>
        </w:tc>
      </w:tr>
      <w:tr w14:paraId="5611A3B3">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5958" w:type="dxa"/>
          </w:tcPr>
          <w:p w14:paraId="51EA1EA2">
            <w:pPr>
              <w:pStyle w:val="19"/>
              <w:numPr>
                <w:ilvl w:val="0"/>
                <w:numId w:val="3"/>
              </w:numPr>
              <w:bidi/>
              <w:spacing w:after="0" w:line="360" w:lineRule="auto"/>
              <w:jc w:val="lowKashida"/>
              <w:rPr>
                <w:rFonts w:asciiTheme="majorBidi" w:hAnsiTheme="majorBidi" w:cstheme="majorBidi"/>
                <w:b w:val="0"/>
                <w:bCs w:val="0"/>
                <w:sz w:val="20"/>
                <w:szCs w:val="20"/>
                <w:lang w:bidi="ar-JO"/>
              </w:rPr>
            </w:pPr>
            <w:r>
              <w:rPr>
                <w:rFonts w:asciiTheme="majorBidi" w:hAnsiTheme="majorBidi" w:cstheme="majorBidi"/>
                <w:b w:val="0"/>
                <w:bCs w:val="0"/>
                <w:sz w:val="20"/>
                <w:szCs w:val="20"/>
                <w:rtl/>
                <w:lang w:bidi="ar-JO"/>
              </w:rPr>
              <w:t>هل تعتقد أن الشخص المصاب بالفصام يعتبر خطيرًا؟</w:t>
            </w:r>
          </w:p>
        </w:tc>
        <w:tc>
          <w:tcPr>
            <w:tcW w:w="708" w:type="dxa"/>
          </w:tcPr>
          <w:p w14:paraId="1DA617DA">
            <w:pPr>
              <w:bidi/>
              <w:spacing w:after="0" w:line="360" w:lineRule="auto"/>
              <w:ind w:right="-90"/>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1.84</w:t>
            </w:r>
          </w:p>
        </w:tc>
        <w:tc>
          <w:tcPr>
            <w:tcW w:w="993" w:type="dxa"/>
          </w:tcPr>
          <w:p w14:paraId="07EDC85C">
            <w:pPr>
              <w:bidi/>
              <w:spacing w:after="0" w:line="360" w:lineRule="auto"/>
              <w:ind w:right="-90"/>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0.93</w:t>
            </w:r>
          </w:p>
        </w:tc>
        <w:tc>
          <w:tcPr>
            <w:tcW w:w="708" w:type="dxa"/>
          </w:tcPr>
          <w:p w14:paraId="482C33CF">
            <w:pPr>
              <w:bidi/>
              <w:spacing w:after="0" w:line="360" w:lineRule="auto"/>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9</w:t>
            </w:r>
          </w:p>
        </w:tc>
        <w:tc>
          <w:tcPr>
            <w:tcW w:w="993" w:type="dxa"/>
          </w:tcPr>
          <w:p w14:paraId="62CC637D">
            <w:pPr>
              <w:bidi/>
              <w:spacing w:after="0" w:line="360" w:lineRule="auto"/>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متوسط</w:t>
            </w:r>
          </w:p>
        </w:tc>
      </w:tr>
      <w:tr w14:paraId="35B54B3F">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5958" w:type="dxa"/>
            <w:tcBorders>
              <w:top w:val="single" w:color="7E7E7E" w:themeColor="text1" w:themeTint="80" w:sz="4" w:space="0"/>
              <w:bottom w:val="single" w:color="7E7E7E" w:themeColor="text1" w:themeTint="80" w:sz="4" w:space="0"/>
              <w:insideH w:val="single" w:sz="4" w:space="0"/>
            </w:tcBorders>
          </w:tcPr>
          <w:p w14:paraId="7DC1FC70">
            <w:pPr>
              <w:pStyle w:val="19"/>
              <w:numPr>
                <w:ilvl w:val="0"/>
                <w:numId w:val="3"/>
              </w:numPr>
              <w:bidi/>
              <w:spacing w:after="0" w:line="360" w:lineRule="auto"/>
              <w:jc w:val="lowKashida"/>
              <w:rPr>
                <w:rFonts w:asciiTheme="majorBidi" w:hAnsiTheme="majorBidi" w:cstheme="majorBidi"/>
                <w:b w:val="0"/>
                <w:bCs w:val="0"/>
                <w:sz w:val="20"/>
                <w:szCs w:val="20"/>
                <w:lang w:bidi="ar-JO"/>
              </w:rPr>
            </w:pPr>
            <w:r>
              <w:rPr>
                <w:rFonts w:asciiTheme="majorBidi" w:hAnsiTheme="majorBidi" w:cstheme="majorBidi"/>
                <w:b w:val="0"/>
                <w:bCs w:val="0"/>
                <w:sz w:val="20"/>
                <w:szCs w:val="20"/>
                <w:rtl/>
                <w:lang w:bidi="ar-JO"/>
              </w:rPr>
              <w:t>هل تعتقد أن المرض النفسي يشير إلى مشكلات عاطفية أو نفسية؟</w:t>
            </w:r>
          </w:p>
        </w:tc>
        <w:tc>
          <w:tcPr>
            <w:tcW w:w="708" w:type="dxa"/>
            <w:tcBorders>
              <w:top w:val="single" w:color="7E7E7E" w:themeColor="text1" w:themeTint="80" w:sz="4" w:space="0"/>
              <w:bottom w:val="single" w:color="7E7E7E" w:themeColor="text1" w:themeTint="80" w:sz="4" w:space="0"/>
              <w:insideH w:val="single" w:sz="4" w:space="0"/>
            </w:tcBorders>
          </w:tcPr>
          <w:p w14:paraId="15FE62E8">
            <w:pPr>
              <w:bidi/>
              <w:spacing w:after="0" w:line="360" w:lineRule="auto"/>
              <w:ind w:right="-90"/>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2.74</w:t>
            </w:r>
          </w:p>
        </w:tc>
        <w:tc>
          <w:tcPr>
            <w:tcW w:w="993" w:type="dxa"/>
            <w:tcBorders>
              <w:top w:val="single" w:color="7E7E7E" w:themeColor="text1" w:themeTint="80" w:sz="4" w:space="0"/>
              <w:bottom w:val="single" w:color="7E7E7E" w:themeColor="text1" w:themeTint="80" w:sz="4" w:space="0"/>
              <w:insideH w:val="single" w:sz="4" w:space="0"/>
            </w:tcBorders>
          </w:tcPr>
          <w:p w14:paraId="5B250877">
            <w:pPr>
              <w:bidi/>
              <w:spacing w:after="0" w:line="360" w:lineRule="auto"/>
              <w:ind w:right="-90"/>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0.55</w:t>
            </w:r>
          </w:p>
        </w:tc>
        <w:tc>
          <w:tcPr>
            <w:tcW w:w="708" w:type="dxa"/>
            <w:tcBorders>
              <w:top w:val="single" w:color="7E7E7E" w:themeColor="text1" w:themeTint="80" w:sz="4" w:space="0"/>
              <w:bottom w:val="single" w:color="7E7E7E" w:themeColor="text1" w:themeTint="80" w:sz="4" w:space="0"/>
              <w:insideH w:val="single" w:sz="4" w:space="0"/>
            </w:tcBorders>
          </w:tcPr>
          <w:p w14:paraId="36C2A130">
            <w:pPr>
              <w:bidi/>
              <w:spacing w:after="0" w:line="360" w:lineRule="auto"/>
              <w:jc w:val="lowKashida"/>
              <w:rPr>
                <w:rFonts w:asciiTheme="majorBidi" w:hAnsiTheme="majorBidi" w:cstheme="majorBidi"/>
                <w:sz w:val="20"/>
                <w:szCs w:val="20"/>
                <w:rtl/>
              </w:rPr>
            </w:pPr>
            <w:r>
              <w:rPr>
                <w:rFonts w:asciiTheme="majorBidi" w:hAnsiTheme="majorBidi" w:cstheme="majorBidi"/>
                <w:sz w:val="20"/>
                <w:szCs w:val="20"/>
                <w:rtl/>
              </w:rPr>
              <w:t>3</w:t>
            </w:r>
          </w:p>
        </w:tc>
        <w:tc>
          <w:tcPr>
            <w:tcW w:w="993" w:type="dxa"/>
            <w:tcBorders>
              <w:top w:val="single" w:color="7E7E7E" w:themeColor="text1" w:themeTint="80" w:sz="4" w:space="0"/>
              <w:bottom w:val="single" w:color="7E7E7E" w:themeColor="text1" w:themeTint="80" w:sz="4" w:space="0"/>
              <w:insideH w:val="single" w:sz="4" w:space="0"/>
            </w:tcBorders>
          </w:tcPr>
          <w:p w14:paraId="63AE6DC0">
            <w:pPr>
              <w:bidi/>
              <w:spacing w:after="0" w:line="360" w:lineRule="auto"/>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sz w:val="20"/>
                <w:szCs w:val="20"/>
                <w:rtl/>
              </w:rPr>
              <w:t>مرتفع</w:t>
            </w:r>
          </w:p>
        </w:tc>
      </w:tr>
      <w:tr w14:paraId="1A222574">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5958" w:type="dxa"/>
          </w:tcPr>
          <w:p w14:paraId="07148A54">
            <w:pPr>
              <w:pStyle w:val="19"/>
              <w:numPr>
                <w:ilvl w:val="0"/>
                <w:numId w:val="4"/>
              </w:numPr>
              <w:bidi/>
              <w:spacing w:after="0" w:line="360" w:lineRule="auto"/>
              <w:jc w:val="lowKashida"/>
              <w:rPr>
                <w:rFonts w:asciiTheme="majorBidi" w:hAnsiTheme="majorBidi" w:cstheme="majorBidi"/>
                <w:b w:val="0"/>
                <w:bCs w:val="0"/>
                <w:sz w:val="20"/>
                <w:szCs w:val="20"/>
                <w:rtl/>
                <w:lang w:bidi="ar-JO"/>
              </w:rPr>
            </w:pPr>
            <w:r>
              <w:rPr>
                <w:rFonts w:asciiTheme="majorBidi" w:hAnsiTheme="majorBidi" w:cstheme="majorBidi"/>
                <w:b w:val="0"/>
                <w:bCs w:val="0"/>
                <w:sz w:val="20"/>
                <w:szCs w:val="20"/>
                <w:rtl/>
                <w:lang w:bidi="ar-JO"/>
              </w:rPr>
              <w:t>هل تعتقد أن الشخص المشخص بمرض نفسي شديد يمكنه الشفاء التام؟</w:t>
            </w:r>
          </w:p>
        </w:tc>
        <w:tc>
          <w:tcPr>
            <w:tcW w:w="708" w:type="dxa"/>
          </w:tcPr>
          <w:p w14:paraId="3A0B7535">
            <w:pPr>
              <w:bidi/>
              <w:spacing w:after="0" w:line="360" w:lineRule="auto"/>
              <w:ind w:right="-90"/>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1.45</w:t>
            </w:r>
          </w:p>
        </w:tc>
        <w:tc>
          <w:tcPr>
            <w:tcW w:w="993" w:type="dxa"/>
          </w:tcPr>
          <w:p w14:paraId="649C5109">
            <w:pPr>
              <w:bidi/>
              <w:spacing w:after="0" w:line="360" w:lineRule="auto"/>
              <w:ind w:right="-90"/>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0.74</w:t>
            </w:r>
          </w:p>
        </w:tc>
        <w:tc>
          <w:tcPr>
            <w:tcW w:w="708" w:type="dxa"/>
          </w:tcPr>
          <w:p w14:paraId="5BDDBDDB">
            <w:pPr>
              <w:bidi/>
              <w:spacing w:after="0" w:line="360" w:lineRule="auto"/>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12</w:t>
            </w:r>
          </w:p>
        </w:tc>
        <w:tc>
          <w:tcPr>
            <w:tcW w:w="993" w:type="dxa"/>
          </w:tcPr>
          <w:p w14:paraId="64C95080">
            <w:pPr>
              <w:bidi/>
              <w:spacing w:after="0" w:line="360" w:lineRule="auto"/>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منخفض</w:t>
            </w:r>
          </w:p>
        </w:tc>
      </w:tr>
      <w:tr w14:paraId="095073C6">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5958" w:type="dxa"/>
            <w:tcBorders>
              <w:top w:val="single" w:color="7E7E7E" w:themeColor="text1" w:themeTint="80" w:sz="4" w:space="0"/>
              <w:bottom w:val="single" w:color="7E7E7E" w:themeColor="text1" w:themeTint="80" w:sz="4" w:space="0"/>
              <w:insideH w:val="single" w:sz="4" w:space="0"/>
            </w:tcBorders>
          </w:tcPr>
          <w:p w14:paraId="2B039CA6">
            <w:pPr>
              <w:pStyle w:val="19"/>
              <w:numPr>
                <w:ilvl w:val="0"/>
                <w:numId w:val="5"/>
              </w:numPr>
              <w:bidi/>
              <w:spacing w:after="0" w:line="360" w:lineRule="auto"/>
              <w:jc w:val="lowKashida"/>
              <w:rPr>
                <w:rFonts w:asciiTheme="majorBidi" w:hAnsiTheme="majorBidi" w:cstheme="majorBidi"/>
                <w:b w:val="0"/>
                <w:bCs w:val="0"/>
                <w:sz w:val="20"/>
                <w:szCs w:val="20"/>
                <w:lang w:bidi="ar-JO"/>
              </w:rPr>
            </w:pPr>
            <w:r>
              <w:rPr>
                <w:rFonts w:asciiTheme="majorBidi" w:hAnsiTheme="majorBidi" w:cstheme="majorBidi"/>
                <w:b w:val="0"/>
                <w:bCs w:val="0"/>
                <w:sz w:val="20"/>
                <w:szCs w:val="20"/>
                <w:rtl/>
                <w:lang w:bidi="ar-JO"/>
              </w:rPr>
              <w:t>هل تعتقد أن الأدوية ضرورية لعلاج المرض النفسي؟</w:t>
            </w:r>
          </w:p>
        </w:tc>
        <w:tc>
          <w:tcPr>
            <w:tcW w:w="708" w:type="dxa"/>
            <w:tcBorders>
              <w:top w:val="single" w:color="7E7E7E" w:themeColor="text1" w:themeTint="80" w:sz="4" w:space="0"/>
              <w:bottom w:val="single" w:color="7E7E7E" w:themeColor="text1" w:themeTint="80" w:sz="4" w:space="0"/>
              <w:insideH w:val="single" w:sz="4" w:space="0"/>
            </w:tcBorders>
          </w:tcPr>
          <w:p w14:paraId="449D470C">
            <w:pPr>
              <w:bidi/>
              <w:spacing w:after="0" w:line="360" w:lineRule="auto"/>
              <w:ind w:right="-90"/>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2.48</w:t>
            </w:r>
          </w:p>
        </w:tc>
        <w:tc>
          <w:tcPr>
            <w:tcW w:w="993" w:type="dxa"/>
            <w:tcBorders>
              <w:top w:val="single" w:color="7E7E7E" w:themeColor="text1" w:themeTint="80" w:sz="4" w:space="0"/>
              <w:bottom w:val="single" w:color="7E7E7E" w:themeColor="text1" w:themeTint="80" w:sz="4" w:space="0"/>
              <w:insideH w:val="single" w:sz="4" w:space="0"/>
            </w:tcBorders>
          </w:tcPr>
          <w:p w14:paraId="60BB80C8">
            <w:pPr>
              <w:bidi/>
              <w:spacing w:after="0" w:line="360" w:lineRule="auto"/>
              <w:ind w:right="-90"/>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0.79</w:t>
            </w:r>
          </w:p>
        </w:tc>
        <w:tc>
          <w:tcPr>
            <w:tcW w:w="708" w:type="dxa"/>
            <w:tcBorders>
              <w:top w:val="single" w:color="7E7E7E" w:themeColor="text1" w:themeTint="80" w:sz="4" w:space="0"/>
              <w:bottom w:val="single" w:color="7E7E7E" w:themeColor="text1" w:themeTint="80" w:sz="4" w:space="0"/>
              <w:insideH w:val="single" w:sz="4" w:space="0"/>
            </w:tcBorders>
          </w:tcPr>
          <w:p w14:paraId="1448684D">
            <w:pPr>
              <w:bidi/>
              <w:spacing w:after="0" w:line="360" w:lineRule="auto"/>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6</w:t>
            </w:r>
          </w:p>
        </w:tc>
        <w:tc>
          <w:tcPr>
            <w:tcW w:w="993" w:type="dxa"/>
            <w:tcBorders>
              <w:top w:val="single" w:color="7E7E7E" w:themeColor="text1" w:themeTint="80" w:sz="4" w:space="0"/>
              <w:bottom w:val="single" w:color="7E7E7E" w:themeColor="text1" w:themeTint="80" w:sz="4" w:space="0"/>
              <w:insideH w:val="single" w:sz="4" w:space="0"/>
            </w:tcBorders>
          </w:tcPr>
          <w:p w14:paraId="38D61E2D">
            <w:pPr>
              <w:bidi/>
              <w:spacing w:after="0" w:line="360" w:lineRule="auto"/>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مرتفع</w:t>
            </w:r>
          </w:p>
        </w:tc>
      </w:tr>
      <w:tr w14:paraId="7C7AA5DE">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5958" w:type="dxa"/>
          </w:tcPr>
          <w:p w14:paraId="6E763B15">
            <w:pPr>
              <w:pStyle w:val="19"/>
              <w:numPr>
                <w:ilvl w:val="0"/>
                <w:numId w:val="5"/>
              </w:numPr>
              <w:bidi/>
              <w:spacing w:after="0" w:line="360" w:lineRule="auto"/>
              <w:jc w:val="lowKashida"/>
              <w:rPr>
                <w:rFonts w:asciiTheme="majorBidi" w:hAnsiTheme="majorBidi" w:cstheme="majorBidi"/>
                <w:b w:val="0"/>
                <w:bCs w:val="0"/>
                <w:sz w:val="20"/>
                <w:szCs w:val="20"/>
                <w:lang w:bidi="ar-JO"/>
              </w:rPr>
            </w:pPr>
            <w:r>
              <w:rPr>
                <w:rFonts w:asciiTheme="majorBidi" w:hAnsiTheme="majorBidi" w:cstheme="majorBidi"/>
                <w:b w:val="0"/>
                <w:bCs w:val="0"/>
                <w:sz w:val="20"/>
                <w:szCs w:val="20"/>
                <w:rtl/>
                <w:lang w:bidi="ar-JO"/>
              </w:rPr>
              <w:t>هل تعتقد أن الشخص المصاب بمرض نفسي يمكن أن يساهم بشكل إيجابي في المجتمع؟</w:t>
            </w:r>
          </w:p>
        </w:tc>
        <w:tc>
          <w:tcPr>
            <w:tcW w:w="708" w:type="dxa"/>
          </w:tcPr>
          <w:p w14:paraId="48C591C2">
            <w:pPr>
              <w:bidi/>
              <w:spacing w:after="0" w:line="360" w:lineRule="auto"/>
              <w:ind w:right="-90"/>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2.51</w:t>
            </w:r>
          </w:p>
        </w:tc>
        <w:tc>
          <w:tcPr>
            <w:tcW w:w="993" w:type="dxa"/>
          </w:tcPr>
          <w:p w14:paraId="5E75A680">
            <w:pPr>
              <w:bidi/>
              <w:spacing w:after="0" w:line="360" w:lineRule="auto"/>
              <w:ind w:right="-90"/>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0.90</w:t>
            </w:r>
          </w:p>
        </w:tc>
        <w:tc>
          <w:tcPr>
            <w:tcW w:w="708" w:type="dxa"/>
          </w:tcPr>
          <w:p w14:paraId="62817356">
            <w:pPr>
              <w:bidi/>
              <w:spacing w:after="0" w:line="360" w:lineRule="auto"/>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5</w:t>
            </w:r>
          </w:p>
        </w:tc>
        <w:tc>
          <w:tcPr>
            <w:tcW w:w="993" w:type="dxa"/>
          </w:tcPr>
          <w:p w14:paraId="1B32873B">
            <w:pPr>
              <w:bidi/>
              <w:spacing w:after="0" w:line="360" w:lineRule="auto"/>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مرتفع</w:t>
            </w:r>
          </w:p>
        </w:tc>
      </w:tr>
      <w:tr w14:paraId="6A8AB444">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5958" w:type="dxa"/>
            <w:tcBorders>
              <w:top w:val="single" w:color="7E7E7E" w:themeColor="text1" w:themeTint="80" w:sz="4" w:space="0"/>
              <w:bottom w:val="single" w:color="7E7E7E" w:themeColor="text1" w:themeTint="80" w:sz="4" w:space="0"/>
              <w:insideH w:val="single" w:sz="4" w:space="0"/>
            </w:tcBorders>
          </w:tcPr>
          <w:p w14:paraId="083A21C6">
            <w:pPr>
              <w:bidi/>
              <w:spacing w:after="0" w:line="360" w:lineRule="auto"/>
              <w:jc w:val="lowKashida"/>
              <w:rPr>
                <w:rFonts w:asciiTheme="majorBidi" w:hAnsiTheme="majorBidi" w:cstheme="majorBidi"/>
                <w:b w:val="0"/>
                <w:bCs w:val="0"/>
                <w:sz w:val="20"/>
                <w:szCs w:val="20"/>
                <w:rtl/>
                <w:lang w:bidi="ar-JO"/>
              </w:rPr>
            </w:pPr>
            <w:r>
              <w:rPr>
                <w:rFonts w:asciiTheme="majorBidi" w:hAnsiTheme="majorBidi" w:cstheme="majorBidi"/>
                <w:b w:val="0"/>
                <w:bCs w:val="0"/>
                <w:sz w:val="20"/>
                <w:szCs w:val="20"/>
                <w:rtl/>
                <w:lang w:bidi="ar-JO"/>
              </w:rPr>
              <w:t>24. هل تعتقد أنك قد تصاب بمرض نفسي في مرحلة ما من حياتك</w:t>
            </w:r>
          </w:p>
        </w:tc>
        <w:tc>
          <w:tcPr>
            <w:tcW w:w="708" w:type="dxa"/>
            <w:tcBorders>
              <w:top w:val="single" w:color="7E7E7E" w:themeColor="text1" w:themeTint="80" w:sz="4" w:space="0"/>
              <w:bottom w:val="single" w:color="7E7E7E" w:themeColor="text1" w:themeTint="80" w:sz="4" w:space="0"/>
              <w:insideH w:val="single" w:sz="4" w:space="0"/>
            </w:tcBorders>
          </w:tcPr>
          <w:p w14:paraId="392E609A">
            <w:pPr>
              <w:bidi/>
              <w:spacing w:after="0" w:line="360" w:lineRule="auto"/>
              <w:ind w:right="-90"/>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1.97</w:t>
            </w:r>
          </w:p>
        </w:tc>
        <w:tc>
          <w:tcPr>
            <w:tcW w:w="993" w:type="dxa"/>
            <w:tcBorders>
              <w:top w:val="single" w:color="7E7E7E" w:themeColor="text1" w:themeTint="80" w:sz="4" w:space="0"/>
              <w:bottom w:val="single" w:color="7E7E7E" w:themeColor="text1" w:themeTint="80" w:sz="4" w:space="0"/>
              <w:insideH w:val="single" w:sz="4" w:space="0"/>
            </w:tcBorders>
          </w:tcPr>
          <w:p w14:paraId="433CCC36">
            <w:pPr>
              <w:bidi/>
              <w:spacing w:after="0" w:line="360" w:lineRule="auto"/>
              <w:ind w:right="-90"/>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0.94</w:t>
            </w:r>
          </w:p>
        </w:tc>
        <w:tc>
          <w:tcPr>
            <w:tcW w:w="708" w:type="dxa"/>
            <w:tcBorders>
              <w:top w:val="single" w:color="7E7E7E" w:themeColor="text1" w:themeTint="80" w:sz="4" w:space="0"/>
              <w:bottom w:val="single" w:color="7E7E7E" w:themeColor="text1" w:themeTint="80" w:sz="4" w:space="0"/>
              <w:insideH w:val="single" w:sz="4" w:space="0"/>
            </w:tcBorders>
          </w:tcPr>
          <w:p w14:paraId="0E730C69">
            <w:pPr>
              <w:bidi/>
              <w:spacing w:after="0" w:line="360" w:lineRule="auto"/>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8</w:t>
            </w:r>
          </w:p>
        </w:tc>
        <w:tc>
          <w:tcPr>
            <w:tcW w:w="993" w:type="dxa"/>
            <w:tcBorders>
              <w:top w:val="single" w:color="7E7E7E" w:themeColor="text1" w:themeTint="80" w:sz="4" w:space="0"/>
              <w:bottom w:val="single" w:color="7E7E7E" w:themeColor="text1" w:themeTint="80" w:sz="4" w:space="0"/>
              <w:insideH w:val="single" w:sz="4" w:space="0"/>
            </w:tcBorders>
          </w:tcPr>
          <w:p w14:paraId="6EAFD4FC">
            <w:pPr>
              <w:bidi/>
              <w:spacing w:after="0" w:line="360" w:lineRule="auto"/>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متوسط</w:t>
            </w:r>
          </w:p>
        </w:tc>
      </w:tr>
      <w:tr w14:paraId="6DCCC572">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5958" w:type="dxa"/>
          </w:tcPr>
          <w:p w14:paraId="6632841F">
            <w:pPr>
              <w:bidi/>
              <w:spacing w:after="0" w:line="360" w:lineRule="auto"/>
              <w:ind w:right="-90"/>
              <w:jc w:val="lowKashida"/>
              <w:rPr>
                <w:rFonts w:asciiTheme="majorBidi" w:hAnsiTheme="majorBidi" w:cstheme="majorBidi"/>
                <w:b w:val="0"/>
                <w:bCs w:val="0"/>
                <w:color w:val="000000" w:themeColor="text1"/>
                <w:sz w:val="20"/>
                <w:szCs w:val="20"/>
                <w:rtl/>
                <w14:textFill>
                  <w14:solidFill>
                    <w14:schemeClr w14:val="tx1"/>
                  </w14:solidFill>
                </w14:textFill>
              </w:rPr>
            </w:pPr>
            <w:r>
              <w:rPr>
                <w:rFonts w:asciiTheme="majorBidi" w:hAnsiTheme="majorBidi" w:cstheme="majorBidi"/>
                <w:b w:val="0"/>
                <w:bCs w:val="0"/>
                <w:color w:val="000000" w:themeColor="text1"/>
                <w:sz w:val="20"/>
                <w:szCs w:val="20"/>
                <w:rtl/>
                <w14:textFill>
                  <w14:solidFill>
                    <w14:schemeClr w14:val="tx1"/>
                  </w14:solidFill>
                </w14:textFill>
              </w:rPr>
              <w:t>البعد ككل</w:t>
            </w:r>
          </w:p>
        </w:tc>
        <w:tc>
          <w:tcPr>
            <w:tcW w:w="708" w:type="dxa"/>
          </w:tcPr>
          <w:p w14:paraId="3B0376EC">
            <w:pPr>
              <w:bidi/>
              <w:spacing w:after="0" w:line="360" w:lineRule="auto"/>
              <w:ind w:right="-90"/>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2.13</w:t>
            </w:r>
          </w:p>
        </w:tc>
        <w:tc>
          <w:tcPr>
            <w:tcW w:w="1701" w:type="dxa"/>
            <w:gridSpan w:val="2"/>
          </w:tcPr>
          <w:p w14:paraId="0EF61786">
            <w:pPr>
              <w:bidi/>
              <w:spacing w:after="0" w:line="360" w:lineRule="auto"/>
              <w:ind w:right="-90"/>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0.32</w:t>
            </w:r>
          </w:p>
        </w:tc>
        <w:tc>
          <w:tcPr>
            <w:tcW w:w="993" w:type="dxa"/>
          </w:tcPr>
          <w:p w14:paraId="11F136B7">
            <w:pPr>
              <w:bidi/>
              <w:spacing w:after="0" w:line="360" w:lineRule="auto"/>
              <w:ind w:right="-90"/>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متوسط</w:t>
            </w:r>
          </w:p>
        </w:tc>
      </w:tr>
    </w:tbl>
    <w:p w14:paraId="007964C7">
      <w:pPr>
        <w:tabs>
          <w:tab w:val="left" w:pos="1440"/>
        </w:tabs>
        <w:bidi/>
        <w:spacing w:before="240" w:line="360" w:lineRule="auto"/>
        <w:jc w:val="lowKashida"/>
        <w:rPr>
          <w:rFonts w:asciiTheme="majorBidi" w:hAnsiTheme="majorBidi" w:cstheme="majorBidi"/>
          <w:rtl/>
        </w:rPr>
      </w:pPr>
      <w:r>
        <w:rPr>
          <w:rFonts w:asciiTheme="majorBidi" w:hAnsiTheme="majorBidi" w:cstheme="majorBidi"/>
          <w:rtl/>
        </w:rPr>
        <w:t>يتبين من الجدول (5) أن المتوسط الحسابي لمستوى الوعي بالمرض النفسي بلغ (2.13) وبدرجة متوسطة، حيث تراوحت المتوسطات الحسابية لفقرات البعد ما بين (1.34–2.80) بدرجات تراوحت بين المنخفضة والمتوسطة. وقد حصلت الفقرة التي نصت على: "هل تستطيع تحديد أي من الاضطرابات التالية ليست مرضًا نفسيًا؟" على أعلى متوسط حسابي بلغ (2.80) وبدرجة متوسطة، تلتها الفقرة التي نصت على: "هل تعرف الفرق بين المرض النفسي والإعاقة الذهنية؟" بمتوسط (2.74) وبدرجة متوسطة. في المقابل، حصلت الفقرة التي نصت على: "هل يمكن لأي شخص أن يصاب بمرض نفسي؟" على أدنى متوسط حسابي بلغ (1.34) وبدرجة منخفضة.</w:t>
      </w:r>
    </w:p>
    <w:p w14:paraId="2E41E77A">
      <w:pPr>
        <w:tabs>
          <w:tab w:val="left" w:pos="1440"/>
        </w:tabs>
        <w:bidi/>
        <w:spacing w:before="240" w:line="360" w:lineRule="auto"/>
        <w:jc w:val="lowKashida"/>
        <w:rPr>
          <w:rFonts w:asciiTheme="majorBidi" w:hAnsiTheme="majorBidi" w:cstheme="majorBidi"/>
        </w:rPr>
      </w:pPr>
      <w:r>
        <w:rPr>
          <w:rFonts w:hint="cs" w:asciiTheme="majorBidi" w:hAnsiTheme="majorBidi" w:cstheme="majorBidi"/>
          <w:rtl/>
        </w:rPr>
        <w:t xml:space="preserve">وقد </w:t>
      </w:r>
      <w:r>
        <w:rPr>
          <w:rFonts w:asciiTheme="majorBidi" w:hAnsiTheme="majorBidi" w:cstheme="majorBidi"/>
          <w:rtl/>
        </w:rPr>
        <w:t xml:space="preserve">اتفقت نتائج الدراسة الحالية التي أظهرت أن مستوى الوعي بالصحة النفسية جاء بدرجة متوسطة مع ما ورد في دراسة </w:t>
      </w:r>
      <w:r>
        <w:rPr>
          <w:rFonts w:asciiTheme="majorBidi" w:hAnsiTheme="majorBidi" w:cstheme="majorBidi"/>
        </w:rPr>
        <w:t xml:space="preserve">(Al-Qerem et al., 2024) </w:t>
      </w:r>
      <w:r>
        <w:rPr>
          <w:rFonts w:asciiTheme="majorBidi" w:hAnsiTheme="majorBidi" w:cstheme="majorBidi"/>
          <w:rtl/>
        </w:rPr>
        <w:t xml:space="preserve">التي أظهرت أن مستوى الثقافة/الوعي بالصحة النفسية لدى الأفراد في الأردن كان في المستوى المتوسط، مع تأثره بعوامل مثل التعليم والدخل والحالة الاجتماعية، كما تدعم دراسة </w:t>
      </w:r>
      <w:r>
        <w:rPr>
          <w:rFonts w:asciiTheme="majorBidi" w:hAnsiTheme="majorBidi" w:cstheme="majorBidi"/>
        </w:rPr>
        <w:t xml:space="preserve">(Koutra et al., 2024) </w:t>
      </w:r>
      <w:r>
        <w:rPr>
          <w:rFonts w:asciiTheme="majorBidi" w:hAnsiTheme="majorBidi" w:cstheme="majorBidi"/>
          <w:rtl/>
        </w:rPr>
        <w:t xml:space="preserve">هذه النتيجة، حيث أظهرت أن ارتفاع الوعي بالصحة النفسية يرتبط بمواقف أكثر إيجابية وانخفاض في الوصمة، مما يعني أن وجود مستوى متوسط من الوعي في العينة يتسق مع طبيعة العلاقات التي كشفت عنها الدراسة الحالية. </w:t>
      </w:r>
    </w:p>
    <w:p w14:paraId="09E8B26E">
      <w:pPr>
        <w:tabs>
          <w:tab w:val="left" w:pos="1440"/>
        </w:tabs>
        <w:bidi/>
        <w:spacing w:before="240" w:line="360" w:lineRule="auto"/>
        <w:jc w:val="lowKashida"/>
        <w:rPr>
          <w:rFonts w:asciiTheme="majorBidi" w:hAnsiTheme="majorBidi" w:cstheme="majorBidi"/>
        </w:rPr>
      </w:pPr>
      <w:r>
        <w:rPr>
          <w:rFonts w:asciiTheme="majorBidi" w:hAnsiTheme="majorBidi" w:cstheme="majorBidi"/>
          <w:rtl/>
        </w:rPr>
        <w:t>ويُفسَّر هذا المستوى المتوسط من الوعي في ضوء أن الثقافة النفسية لدى الأفراد ما تزال تعتمد بشكل كبير على الخبرات العامة والمفاهيم المتداولة اجتماعيًا أكثر من اعتمادها على المعرفة العلمية المنظمة، إضافة إلى تأثير المعتقدات الاجتماعية والثقافية التي قد تُرسّخ بعض المفاهيم غير الدقيقة حول المرض النفسي، مثل محدودية الاعتقاد بانتشاره بين جميع الأفراد أو التشكيك في إمكانية الشفاء الكامل منه، إلى جانب ضعف التعرض لبرامج التوعية المتخصصة في مجال الصحة النفسية</w:t>
      </w:r>
      <w:r>
        <w:rPr>
          <w:rFonts w:asciiTheme="majorBidi" w:hAnsiTheme="majorBidi" w:cstheme="majorBidi"/>
        </w:rPr>
        <w:t>.</w:t>
      </w:r>
    </w:p>
    <w:p w14:paraId="1D66BC4E">
      <w:pPr>
        <w:tabs>
          <w:tab w:val="left" w:pos="1440"/>
        </w:tabs>
        <w:bidi/>
        <w:spacing w:before="240" w:line="360" w:lineRule="auto"/>
        <w:jc w:val="lowKashida"/>
        <w:rPr>
          <w:rFonts w:asciiTheme="majorBidi" w:hAnsiTheme="majorBidi" w:cstheme="majorBidi"/>
        </w:rPr>
      </w:pPr>
      <w:r>
        <w:rPr>
          <w:rFonts w:asciiTheme="majorBidi" w:hAnsiTheme="majorBidi" w:cstheme="majorBidi"/>
          <w:rtl/>
        </w:rPr>
        <w:t>وترى الباحثة أن هذه النتيجة تعكس حاجة ملحّة إلى تعزيز برامج التثقيف النفسي في المجتمع الأردني بشكل أكثر منهجية وعمق، من خلال إدماج مفاهيم الصحة النفسية في المؤسسات التعليمية ووسائل الإعلام، والعمل على تصحيح المفاهيم الخاطئة المرتبطة بالمرض النفسي، بما يسهم في رفع مستوى محو الأمية النفسية وتقليل الفجوات المعرفية التي قد تؤثر على اتجاهات الأفراد وسلوكهم تجاه الصحة النفسية وطلب المساعدة عند الحاجة</w:t>
      </w:r>
      <w:r>
        <w:rPr>
          <w:rFonts w:asciiTheme="majorBidi" w:hAnsiTheme="majorBidi" w:cstheme="majorBidi"/>
        </w:rPr>
        <w:t>.</w:t>
      </w:r>
    </w:p>
    <w:p w14:paraId="4C40444C">
      <w:pPr>
        <w:tabs>
          <w:tab w:val="left" w:pos="1440"/>
        </w:tabs>
        <w:bidi/>
        <w:spacing w:line="360" w:lineRule="auto"/>
        <w:jc w:val="lowKashida"/>
        <w:rPr>
          <w:rFonts w:eastAsia="Times New Roman" w:asciiTheme="majorBidi" w:hAnsiTheme="majorBidi" w:cstheme="majorBidi"/>
          <w:b/>
          <w:bCs/>
          <w:kern w:val="0"/>
          <w14:ligatures w14:val="none"/>
        </w:rPr>
      </w:pPr>
    </w:p>
    <w:p w14:paraId="4A1FF074">
      <w:pPr>
        <w:tabs>
          <w:tab w:val="left" w:pos="1440"/>
        </w:tabs>
        <w:bidi/>
        <w:spacing w:line="360" w:lineRule="auto"/>
        <w:jc w:val="lowKashida"/>
        <w:rPr>
          <w:rFonts w:eastAsia="Times New Roman" w:asciiTheme="majorBidi" w:hAnsiTheme="majorBidi" w:cstheme="majorBidi"/>
          <w:b/>
          <w:bCs/>
          <w:kern w:val="0"/>
          <w:rtl/>
          <w14:ligatures w14:val="none"/>
        </w:rPr>
      </w:pPr>
      <w:r>
        <w:rPr>
          <w:rFonts w:eastAsia="Times New Roman" w:asciiTheme="majorBidi" w:hAnsiTheme="majorBidi" w:cstheme="majorBidi"/>
          <w:b/>
          <w:bCs/>
          <w:kern w:val="0"/>
          <w:rtl/>
          <w14:ligatures w14:val="none"/>
        </w:rPr>
        <w:t>الوصمة الاجتماعية</w:t>
      </w:r>
      <w:r>
        <w:rPr>
          <w:rFonts w:eastAsia="Times New Roman" w:asciiTheme="majorBidi" w:hAnsiTheme="majorBidi" w:cstheme="majorBidi"/>
          <w:b/>
          <w:bCs/>
          <w:kern w:val="0"/>
          <w14:ligatures w14:val="none"/>
        </w:rPr>
        <w:t xml:space="preserve"> </w:t>
      </w:r>
    </w:p>
    <w:p w14:paraId="46586D67">
      <w:pPr>
        <w:bidi/>
        <w:spacing w:after="0" w:line="360" w:lineRule="auto"/>
        <w:ind w:left="360" w:right="-90"/>
        <w:jc w:val="lowKashida"/>
        <w:rPr>
          <w:rFonts w:asciiTheme="majorBidi" w:hAnsiTheme="majorBidi" w:cstheme="majorBidi"/>
          <w:b/>
          <w:bCs/>
          <w:color w:val="000000" w:themeColor="text1"/>
          <w:rtl/>
          <w14:textFill>
            <w14:solidFill>
              <w14:schemeClr w14:val="tx1"/>
            </w14:solidFill>
          </w14:textFill>
        </w:rPr>
      </w:pPr>
      <w:r>
        <w:rPr>
          <w:rFonts w:asciiTheme="majorBidi" w:hAnsiTheme="majorBidi" w:cstheme="majorBidi"/>
          <w:b/>
          <w:bCs/>
          <w:color w:val="000000" w:themeColor="text1"/>
          <w:rtl/>
          <w14:textFill>
            <w14:solidFill>
              <w14:schemeClr w14:val="tx1"/>
            </w14:solidFill>
          </w14:textFill>
        </w:rPr>
        <w:t xml:space="preserve">جدول (6) المتوسطات الحسابية والانحرافات المعيارية لفقرات </w:t>
      </w:r>
      <w:r>
        <w:rPr>
          <w:rFonts w:eastAsia="Times New Roman" w:asciiTheme="majorBidi" w:hAnsiTheme="majorBidi" w:cstheme="majorBidi"/>
          <w:b/>
          <w:bCs/>
          <w:kern w:val="0"/>
          <w:rtl/>
          <w14:ligatures w14:val="none"/>
        </w:rPr>
        <w:t>الوصمة الاجتماعية</w:t>
      </w:r>
    </w:p>
    <w:tbl>
      <w:tblPr>
        <w:tblStyle w:val="18"/>
        <w:bidiVisual/>
        <w:tblW w:w="0" w:type="auto"/>
        <w:tblInd w:w="0" w:type="dxa"/>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099"/>
        <w:gridCol w:w="851"/>
        <w:gridCol w:w="836"/>
        <w:gridCol w:w="592"/>
        <w:gridCol w:w="982"/>
      </w:tblGrid>
      <w:tr w14:paraId="10693096">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6" w:hRule="atLeast"/>
        </w:trPr>
        <w:tc>
          <w:tcPr>
            <w:tcW w:w="6099" w:type="dxa"/>
            <w:tcBorders>
              <w:bottom w:val="single" w:color="7E7E7E" w:themeColor="text1" w:themeTint="80" w:sz="4" w:space="0"/>
              <w:insideH w:val="single" w:sz="4" w:space="0"/>
            </w:tcBorders>
          </w:tcPr>
          <w:p w14:paraId="4969EB66">
            <w:pPr>
              <w:bidi/>
              <w:spacing w:after="0" w:line="240" w:lineRule="auto"/>
              <w:ind w:right="-90"/>
              <w:jc w:val="lowKashida"/>
              <w:rPr>
                <w:rFonts w:asciiTheme="majorBidi" w:hAnsiTheme="majorBidi" w:cstheme="majorBidi"/>
                <w:b w:val="0"/>
                <w:bCs w:val="0"/>
                <w:color w:val="000000" w:themeColor="text1"/>
                <w:sz w:val="20"/>
                <w:szCs w:val="20"/>
                <w:rtl/>
                <w14:textFill>
                  <w14:solidFill>
                    <w14:schemeClr w14:val="tx1"/>
                  </w14:solidFill>
                </w14:textFill>
              </w:rPr>
            </w:pPr>
            <w:r>
              <w:rPr>
                <w:rFonts w:asciiTheme="majorBidi" w:hAnsiTheme="majorBidi" w:cstheme="majorBidi"/>
                <w:b w:val="0"/>
                <w:bCs w:val="0"/>
                <w:color w:val="000000" w:themeColor="text1"/>
                <w:sz w:val="20"/>
                <w:szCs w:val="20"/>
                <w:rtl/>
                <w14:textFill>
                  <w14:solidFill>
                    <w14:schemeClr w14:val="tx1"/>
                  </w14:solidFill>
                </w14:textFill>
              </w:rPr>
              <w:t>الفقرة</w:t>
            </w:r>
          </w:p>
        </w:tc>
        <w:tc>
          <w:tcPr>
            <w:tcW w:w="851" w:type="dxa"/>
            <w:tcBorders>
              <w:bottom w:val="single" w:color="7E7E7E" w:themeColor="text1" w:themeTint="80" w:sz="4" w:space="0"/>
              <w:insideH w:val="single" w:sz="4" w:space="0"/>
            </w:tcBorders>
          </w:tcPr>
          <w:p w14:paraId="7F787FDE">
            <w:pPr>
              <w:bidi/>
              <w:spacing w:after="0" w:line="240" w:lineRule="auto"/>
              <w:ind w:right="-90"/>
              <w:jc w:val="lowKashida"/>
              <w:rPr>
                <w:rFonts w:asciiTheme="majorBidi" w:hAnsiTheme="majorBidi" w:cstheme="majorBidi"/>
                <w:b w:val="0"/>
                <w:bCs w:val="0"/>
                <w:color w:val="000000" w:themeColor="text1"/>
                <w:sz w:val="20"/>
                <w:szCs w:val="20"/>
                <w:rtl/>
                <w14:textFill>
                  <w14:solidFill>
                    <w14:schemeClr w14:val="tx1"/>
                  </w14:solidFill>
                </w14:textFill>
              </w:rPr>
            </w:pPr>
            <w:r>
              <w:rPr>
                <w:rFonts w:asciiTheme="majorBidi" w:hAnsiTheme="majorBidi" w:cstheme="majorBidi"/>
                <w:b w:val="0"/>
                <w:bCs w:val="0"/>
                <w:color w:val="000000" w:themeColor="text1"/>
                <w:sz w:val="20"/>
                <w:szCs w:val="20"/>
                <w:rtl/>
                <w14:textFill>
                  <w14:solidFill>
                    <w14:schemeClr w14:val="tx1"/>
                  </w14:solidFill>
                </w14:textFill>
              </w:rPr>
              <w:t>المتوسط الحسابي</w:t>
            </w:r>
          </w:p>
        </w:tc>
        <w:tc>
          <w:tcPr>
            <w:tcW w:w="836" w:type="dxa"/>
            <w:tcBorders>
              <w:bottom w:val="single" w:color="7E7E7E" w:themeColor="text1" w:themeTint="80" w:sz="4" w:space="0"/>
              <w:insideH w:val="single" w:sz="4" w:space="0"/>
            </w:tcBorders>
          </w:tcPr>
          <w:p w14:paraId="4CCE635B">
            <w:pPr>
              <w:bidi/>
              <w:spacing w:after="0" w:line="240" w:lineRule="auto"/>
              <w:ind w:right="-90"/>
              <w:jc w:val="lowKashida"/>
              <w:rPr>
                <w:rFonts w:asciiTheme="majorBidi" w:hAnsiTheme="majorBidi" w:cstheme="majorBidi"/>
                <w:b w:val="0"/>
                <w:bCs w:val="0"/>
                <w:color w:val="000000" w:themeColor="text1"/>
                <w:sz w:val="20"/>
                <w:szCs w:val="20"/>
                <w:rtl/>
                <w14:textFill>
                  <w14:solidFill>
                    <w14:schemeClr w14:val="tx1"/>
                  </w14:solidFill>
                </w14:textFill>
              </w:rPr>
            </w:pPr>
            <w:r>
              <w:rPr>
                <w:rFonts w:asciiTheme="majorBidi" w:hAnsiTheme="majorBidi" w:cstheme="majorBidi"/>
                <w:b w:val="0"/>
                <w:bCs w:val="0"/>
                <w:color w:val="000000" w:themeColor="text1"/>
                <w:sz w:val="20"/>
                <w:szCs w:val="20"/>
                <w:rtl/>
                <w14:textFill>
                  <w14:solidFill>
                    <w14:schemeClr w14:val="tx1"/>
                  </w14:solidFill>
                </w14:textFill>
              </w:rPr>
              <w:t>الانحراف المعياري</w:t>
            </w:r>
          </w:p>
        </w:tc>
        <w:tc>
          <w:tcPr>
            <w:tcW w:w="592" w:type="dxa"/>
            <w:tcBorders>
              <w:bottom w:val="single" w:color="7E7E7E" w:themeColor="text1" w:themeTint="80" w:sz="4" w:space="0"/>
              <w:insideH w:val="single" w:sz="4" w:space="0"/>
            </w:tcBorders>
          </w:tcPr>
          <w:p w14:paraId="24C66FB4">
            <w:pPr>
              <w:bidi/>
              <w:spacing w:after="0" w:line="240" w:lineRule="auto"/>
              <w:ind w:right="-90"/>
              <w:jc w:val="lowKashida"/>
              <w:rPr>
                <w:rFonts w:asciiTheme="majorBidi" w:hAnsiTheme="majorBidi" w:cstheme="majorBidi"/>
                <w:b w:val="0"/>
                <w:bCs w:val="0"/>
                <w:color w:val="000000" w:themeColor="text1"/>
                <w:sz w:val="20"/>
                <w:szCs w:val="20"/>
                <w:rtl/>
                <w14:textFill>
                  <w14:solidFill>
                    <w14:schemeClr w14:val="tx1"/>
                  </w14:solidFill>
                </w14:textFill>
              </w:rPr>
            </w:pPr>
            <w:r>
              <w:rPr>
                <w:rFonts w:asciiTheme="majorBidi" w:hAnsiTheme="majorBidi" w:cstheme="majorBidi"/>
                <w:b w:val="0"/>
                <w:bCs w:val="0"/>
                <w:color w:val="000000" w:themeColor="text1"/>
                <w:sz w:val="20"/>
                <w:szCs w:val="20"/>
                <w:rtl/>
                <w14:textFill>
                  <w14:solidFill>
                    <w14:schemeClr w14:val="tx1"/>
                  </w14:solidFill>
                </w14:textFill>
              </w:rPr>
              <w:t>الرتبة</w:t>
            </w:r>
          </w:p>
        </w:tc>
        <w:tc>
          <w:tcPr>
            <w:tcW w:w="982" w:type="dxa"/>
            <w:tcBorders>
              <w:bottom w:val="single" w:color="7E7E7E" w:themeColor="text1" w:themeTint="80" w:sz="4" w:space="0"/>
              <w:insideH w:val="single" w:sz="4" w:space="0"/>
            </w:tcBorders>
          </w:tcPr>
          <w:p w14:paraId="6BB81777">
            <w:pPr>
              <w:bidi/>
              <w:spacing w:after="0" w:line="240" w:lineRule="auto"/>
              <w:ind w:right="-90"/>
              <w:jc w:val="lowKashida"/>
              <w:rPr>
                <w:rFonts w:asciiTheme="majorBidi" w:hAnsiTheme="majorBidi" w:cstheme="majorBidi"/>
                <w:b w:val="0"/>
                <w:bCs w:val="0"/>
                <w:color w:val="000000" w:themeColor="text1"/>
                <w:sz w:val="20"/>
                <w:szCs w:val="20"/>
                <w:rtl/>
                <w14:textFill>
                  <w14:solidFill>
                    <w14:schemeClr w14:val="tx1"/>
                  </w14:solidFill>
                </w14:textFill>
              </w:rPr>
            </w:pPr>
            <w:r>
              <w:rPr>
                <w:rFonts w:asciiTheme="majorBidi" w:hAnsiTheme="majorBidi" w:cstheme="majorBidi"/>
                <w:b w:val="0"/>
                <w:bCs w:val="0"/>
                <w:color w:val="000000" w:themeColor="text1"/>
                <w:sz w:val="20"/>
                <w:szCs w:val="20"/>
                <w:rtl/>
                <w14:textFill>
                  <w14:solidFill>
                    <w14:schemeClr w14:val="tx1"/>
                  </w14:solidFill>
                </w14:textFill>
              </w:rPr>
              <w:t>المستوى</w:t>
            </w:r>
          </w:p>
        </w:tc>
      </w:tr>
      <w:tr w14:paraId="19ADB64E">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6099" w:type="dxa"/>
            <w:tcBorders>
              <w:top w:val="single" w:color="7E7E7E" w:themeColor="text1" w:themeTint="80" w:sz="4" w:space="0"/>
              <w:bottom w:val="single" w:color="7E7E7E" w:themeColor="text1" w:themeTint="80" w:sz="4" w:space="0"/>
              <w:insideH w:val="single" w:sz="4" w:space="0"/>
            </w:tcBorders>
          </w:tcPr>
          <w:p w14:paraId="2E79A3D0">
            <w:pPr>
              <w:pStyle w:val="19"/>
              <w:numPr>
                <w:ilvl w:val="0"/>
                <w:numId w:val="3"/>
              </w:numPr>
              <w:bidi/>
              <w:spacing w:after="0" w:line="240" w:lineRule="auto"/>
              <w:ind w:left="418"/>
              <w:jc w:val="lowKashida"/>
              <w:rPr>
                <w:rFonts w:asciiTheme="majorBidi" w:hAnsiTheme="majorBidi" w:cstheme="majorBidi"/>
                <w:b w:val="0"/>
                <w:bCs w:val="0"/>
                <w:sz w:val="20"/>
                <w:szCs w:val="20"/>
                <w:lang w:bidi="ar-JO"/>
              </w:rPr>
            </w:pPr>
            <w:r>
              <w:rPr>
                <w:rFonts w:asciiTheme="majorBidi" w:hAnsiTheme="majorBidi" w:cstheme="majorBidi"/>
                <w:b w:val="0"/>
                <w:bCs w:val="0"/>
                <w:sz w:val="20"/>
                <w:szCs w:val="20"/>
                <w:rtl/>
                <w:lang w:bidi="ar-JO"/>
              </w:rPr>
              <w:t>هل ستشعر بالارتياح إذا كنت على علاقة مع شخص يعاني من مرض نفسي؟</w:t>
            </w:r>
          </w:p>
        </w:tc>
        <w:tc>
          <w:tcPr>
            <w:tcW w:w="851" w:type="dxa"/>
            <w:tcBorders>
              <w:top w:val="single" w:color="7E7E7E" w:themeColor="text1" w:themeTint="80" w:sz="4" w:space="0"/>
              <w:bottom w:val="single" w:color="7E7E7E" w:themeColor="text1" w:themeTint="80" w:sz="4" w:space="0"/>
              <w:insideH w:val="single" w:sz="4" w:space="0"/>
            </w:tcBorders>
          </w:tcPr>
          <w:p w14:paraId="0B8E3AAF">
            <w:pPr>
              <w:bidi/>
              <w:spacing w:after="0" w:line="240" w:lineRule="auto"/>
              <w:ind w:right="-90"/>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2.46</w:t>
            </w:r>
          </w:p>
        </w:tc>
        <w:tc>
          <w:tcPr>
            <w:tcW w:w="836" w:type="dxa"/>
            <w:tcBorders>
              <w:top w:val="single" w:color="7E7E7E" w:themeColor="text1" w:themeTint="80" w:sz="4" w:space="0"/>
              <w:bottom w:val="single" w:color="7E7E7E" w:themeColor="text1" w:themeTint="80" w:sz="4" w:space="0"/>
              <w:insideH w:val="single" w:sz="4" w:space="0"/>
            </w:tcBorders>
          </w:tcPr>
          <w:p w14:paraId="6A6DF010">
            <w:pPr>
              <w:bidi/>
              <w:spacing w:after="0" w:line="240" w:lineRule="auto"/>
              <w:ind w:right="-90"/>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0.81</w:t>
            </w:r>
          </w:p>
        </w:tc>
        <w:tc>
          <w:tcPr>
            <w:tcW w:w="592" w:type="dxa"/>
            <w:tcBorders>
              <w:top w:val="single" w:color="7E7E7E" w:themeColor="text1" w:themeTint="80" w:sz="4" w:space="0"/>
              <w:bottom w:val="single" w:color="7E7E7E" w:themeColor="text1" w:themeTint="80" w:sz="4" w:space="0"/>
              <w:insideH w:val="single" w:sz="4" w:space="0"/>
            </w:tcBorders>
          </w:tcPr>
          <w:p w14:paraId="169F8143">
            <w:pPr>
              <w:spacing w:after="0" w:line="240" w:lineRule="auto"/>
              <w:jc w:val="center"/>
              <w:rPr>
                <w:rFonts w:asciiTheme="majorBidi" w:hAnsiTheme="majorBidi" w:cstheme="majorBidi"/>
                <w:sz w:val="20"/>
                <w:szCs w:val="20"/>
                <w:rtl/>
              </w:rPr>
            </w:pPr>
            <w:r>
              <w:rPr>
                <w:rFonts w:asciiTheme="majorBidi" w:hAnsiTheme="majorBidi" w:cstheme="majorBidi"/>
                <w:sz w:val="20"/>
                <w:szCs w:val="20"/>
                <w:rtl/>
              </w:rPr>
              <w:t>5</w:t>
            </w:r>
          </w:p>
        </w:tc>
        <w:tc>
          <w:tcPr>
            <w:tcW w:w="982" w:type="dxa"/>
            <w:tcBorders>
              <w:top w:val="single" w:color="7E7E7E" w:themeColor="text1" w:themeTint="80" w:sz="4" w:space="0"/>
              <w:bottom w:val="single" w:color="7E7E7E" w:themeColor="text1" w:themeTint="80" w:sz="4" w:space="0"/>
              <w:insideH w:val="single" w:sz="4" w:space="0"/>
            </w:tcBorders>
          </w:tcPr>
          <w:p w14:paraId="002EACF4">
            <w:pPr>
              <w:spacing w:after="0" w:line="240" w:lineRule="auto"/>
              <w:jc w:val="center"/>
              <w:rPr>
                <w:rFonts w:asciiTheme="majorBidi" w:hAnsiTheme="majorBidi" w:cstheme="majorBidi"/>
                <w:sz w:val="20"/>
                <w:szCs w:val="20"/>
              </w:rPr>
            </w:pPr>
            <w:r>
              <w:rPr>
                <w:rFonts w:asciiTheme="majorBidi" w:hAnsiTheme="majorBidi" w:cstheme="majorBidi"/>
                <w:sz w:val="20"/>
                <w:szCs w:val="20"/>
                <w:rtl/>
              </w:rPr>
              <w:t>مرتفع</w:t>
            </w:r>
          </w:p>
        </w:tc>
      </w:tr>
      <w:tr w14:paraId="6DA73BFF">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6099" w:type="dxa"/>
          </w:tcPr>
          <w:p w14:paraId="38378184">
            <w:pPr>
              <w:pStyle w:val="19"/>
              <w:numPr>
                <w:ilvl w:val="0"/>
                <w:numId w:val="3"/>
              </w:numPr>
              <w:bidi/>
              <w:spacing w:after="0" w:line="240" w:lineRule="auto"/>
              <w:jc w:val="lowKashida"/>
              <w:rPr>
                <w:rFonts w:asciiTheme="majorBidi" w:hAnsiTheme="majorBidi" w:cstheme="majorBidi"/>
                <w:b w:val="0"/>
                <w:bCs w:val="0"/>
                <w:sz w:val="20"/>
                <w:szCs w:val="20"/>
                <w:lang w:bidi="ar-JO"/>
              </w:rPr>
            </w:pPr>
            <w:r>
              <w:rPr>
                <w:rFonts w:asciiTheme="majorBidi" w:hAnsiTheme="majorBidi" w:cstheme="majorBidi"/>
                <w:b w:val="0"/>
                <w:bCs w:val="0"/>
                <w:sz w:val="20"/>
                <w:szCs w:val="20"/>
                <w:rtl/>
                <w:lang w:bidi="ar-JO"/>
              </w:rPr>
              <w:t>هل تعتقد أن الأشخاص المصابين بمرض نفسي يواجهون صعوبات أثناء مقابلات العمل؟</w:t>
            </w:r>
          </w:p>
        </w:tc>
        <w:tc>
          <w:tcPr>
            <w:tcW w:w="851" w:type="dxa"/>
          </w:tcPr>
          <w:p w14:paraId="4470691F">
            <w:pPr>
              <w:bidi/>
              <w:spacing w:after="0" w:line="240" w:lineRule="auto"/>
              <w:ind w:right="-90"/>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2.85</w:t>
            </w:r>
          </w:p>
        </w:tc>
        <w:tc>
          <w:tcPr>
            <w:tcW w:w="836" w:type="dxa"/>
          </w:tcPr>
          <w:p w14:paraId="277D90D9">
            <w:pPr>
              <w:bidi/>
              <w:spacing w:after="0" w:line="240" w:lineRule="auto"/>
              <w:ind w:right="-90"/>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0.46</w:t>
            </w:r>
          </w:p>
        </w:tc>
        <w:tc>
          <w:tcPr>
            <w:tcW w:w="592" w:type="dxa"/>
          </w:tcPr>
          <w:p w14:paraId="172A8C5B">
            <w:pPr>
              <w:spacing w:after="0" w:line="240" w:lineRule="auto"/>
              <w:jc w:val="center"/>
              <w:rPr>
                <w:rFonts w:asciiTheme="majorBidi" w:hAnsiTheme="majorBidi" w:cstheme="majorBidi"/>
                <w:sz w:val="20"/>
                <w:szCs w:val="20"/>
                <w:rtl/>
              </w:rPr>
            </w:pPr>
            <w:r>
              <w:rPr>
                <w:rFonts w:asciiTheme="majorBidi" w:hAnsiTheme="majorBidi" w:cstheme="majorBidi"/>
                <w:sz w:val="20"/>
                <w:szCs w:val="20"/>
                <w:rtl/>
              </w:rPr>
              <w:t>1</w:t>
            </w:r>
          </w:p>
        </w:tc>
        <w:tc>
          <w:tcPr>
            <w:tcW w:w="982" w:type="dxa"/>
          </w:tcPr>
          <w:p w14:paraId="56574963">
            <w:pPr>
              <w:spacing w:after="0" w:line="240" w:lineRule="auto"/>
              <w:jc w:val="center"/>
              <w:rPr>
                <w:rFonts w:asciiTheme="majorBidi" w:hAnsiTheme="majorBidi" w:cstheme="majorBidi"/>
                <w:sz w:val="20"/>
                <w:szCs w:val="20"/>
              </w:rPr>
            </w:pPr>
            <w:r>
              <w:rPr>
                <w:rFonts w:asciiTheme="majorBidi" w:hAnsiTheme="majorBidi" w:cstheme="majorBidi"/>
                <w:sz w:val="20"/>
                <w:szCs w:val="20"/>
                <w:rtl/>
              </w:rPr>
              <w:t>مرتفع</w:t>
            </w:r>
          </w:p>
        </w:tc>
      </w:tr>
      <w:tr w14:paraId="081E4DEF">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6099" w:type="dxa"/>
            <w:tcBorders>
              <w:top w:val="single" w:color="7E7E7E" w:themeColor="text1" w:themeTint="80" w:sz="4" w:space="0"/>
              <w:bottom w:val="single" w:color="7E7E7E" w:themeColor="text1" w:themeTint="80" w:sz="4" w:space="0"/>
              <w:insideH w:val="single" w:sz="4" w:space="0"/>
            </w:tcBorders>
          </w:tcPr>
          <w:p w14:paraId="43B58818">
            <w:pPr>
              <w:pStyle w:val="19"/>
              <w:numPr>
                <w:ilvl w:val="0"/>
                <w:numId w:val="4"/>
              </w:numPr>
              <w:bidi/>
              <w:spacing w:after="0" w:line="240" w:lineRule="auto"/>
              <w:jc w:val="lowKashida"/>
              <w:rPr>
                <w:rFonts w:asciiTheme="majorBidi" w:hAnsiTheme="majorBidi" w:cstheme="majorBidi"/>
                <w:b w:val="0"/>
                <w:bCs w:val="0"/>
                <w:sz w:val="20"/>
                <w:szCs w:val="20"/>
                <w:lang w:bidi="ar-JO"/>
              </w:rPr>
            </w:pPr>
            <w:r>
              <w:rPr>
                <w:rFonts w:asciiTheme="majorBidi" w:hAnsiTheme="majorBidi" w:cstheme="majorBidi"/>
                <w:b w:val="0"/>
                <w:bCs w:val="0"/>
                <w:sz w:val="20"/>
                <w:szCs w:val="20"/>
                <w:rtl/>
                <w:lang w:bidi="ar-JO"/>
              </w:rPr>
              <w:t>هل تعتقد أنه يجب معاملة الأشخاص المصابين بمرض نفسي بطريقة مختلفة عن الآخرين؟</w:t>
            </w:r>
          </w:p>
        </w:tc>
        <w:tc>
          <w:tcPr>
            <w:tcW w:w="851" w:type="dxa"/>
            <w:tcBorders>
              <w:top w:val="single" w:color="7E7E7E" w:themeColor="text1" w:themeTint="80" w:sz="4" w:space="0"/>
              <w:bottom w:val="single" w:color="7E7E7E" w:themeColor="text1" w:themeTint="80" w:sz="4" w:space="0"/>
              <w:insideH w:val="single" w:sz="4" w:space="0"/>
            </w:tcBorders>
          </w:tcPr>
          <w:p w14:paraId="2632CE45">
            <w:pPr>
              <w:bidi/>
              <w:spacing w:after="0" w:line="240" w:lineRule="auto"/>
              <w:ind w:right="-90"/>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2.64</w:t>
            </w:r>
          </w:p>
        </w:tc>
        <w:tc>
          <w:tcPr>
            <w:tcW w:w="836" w:type="dxa"/>
            <w:tcBorders>
              <w:top w:val="single" w:color="7E7E7E" w:themeColor="text1" w:themeTint="80" w:sz="4" w:space="0"/>
              <w:bottom w:val="single" w:color="7E7E7E" w:themeColor="text1" w:themeTint="80" w:sz="4" w:space="0"/>
              <w:insideH w:val="single" w:sz="4" w:space="0"/>
            </w:tcBorders>
          </w:tcPr>
          <w:p w14:paraId="062006D6">
            <w:pPr>
              <w:bidi/>
              <w:spacing w:after="0" w:line="240" w:lineRule="auto"/>
              <w:ind w:right="-90"/>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0.67</w:t>
            </w:r>
          </w:p>
        </w:tc>
        <w:tc>
          <w:tcPr>
            <w:tcW w:w="592" w:type="dxa"/>
            <w:tcBorders>
              <w:top w:val="single" w:color="7E7E7E" w:themeColor="text1" w:themeTint="80" w:sz="4" w:space="0"/>
              <w:bottom w:val="single" w:color="7E7E7E" w:themeColor="text1" w:themeTint="80" w:sz="4" w:space="0"/>
              <w:insideH w:val="single" w:sz="4" w:space="0"/>
            </w:tcBorders>
          </w:tcPr>
          <w:p w14:paraId="15B2E416">
            <w:pPr>
              <w:bidi/>
              <w:spacing w:after="0" w:line="240" w:lineRule="auto"/>
              <w:jc w:val="center"/>
              <w:rPr>
                <w:rFonts w:asciiTheme="majorBidi" w:hAnsiTheme="majorBidi" w:cstheme="majorBidi"/>
                <w:sz w:val="20"/>
                <w:szCs w:val="20"/>
                <w:rtl/>
              </w:rPr>
            </w:pPr>
            <w:r>
              <w:rPr>
                <w:rFonts w:asciiTheme="majorBidi" w:hAnsiTheme="majorBidi" w:cstheme="majorBidi"/>
                <w:sz w:val="20"/>
                <w:szCs w:val="20"/>
                <w:rtl/>
              </w:rPr>
              <w:t>2</w:t>
            </w:r>
          </w:p>
        </w:tc>
        <w:tc>
          <w:tcPr>
            <w:tcW w:w="982" w:type="dxa"/>
            <w:tcBorders>
              <w:top w:val="single" w:color="7E7E7E" w:themeColor="text1" w:themeTint="80" w:sz="4" w:space="0"/>
              <w:bottom w:val="single" w:color="7E7E7E" w:themeColor="text1" w:themeTint="80" w:sz="4" w:space="0"/>
              <w:insideH w:val="single" w:sz="4" w:space="0"/>
            </w:tcBorders>
          </w:tcPr>
          <w:p w14:paraId="0AE4D725">
            <w:pPr>
              <w:bidi/>
              <w:spacing w:after="0" w:line="240" w:lineRule="auto"/>
              <w:jc w:val="center"/>
              <w:rPr>
                <w:rFonts w:asciiTheme="majorBidi" w:hAnsiTheme="majorBidi" w:cstheme="majorBidi"/>
                <w:sz w:val="20"/>
                <w:szCs w:val="20"/>
              </w:rPr>
            </w:pPr>
            <w:r>
              <w:rPr>
                <w:rFonts w:asciiTheme="majorBidi" w:hAnsiTheme="majorBidi" w:cstheme="majorBidi"/>
                <w:sz w:val="20"/>
                <w:szCs w:val="20"/>
                <w:rtl/>
              </w:rPr>
              <w:t>مرتفع</w:t>
            </w:r>
          </w:p>
        </w:tc>
      </w:tr>
      <w:tr w14:paraId="2DF7A77C">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6099" w:type="dxa"/>
          </w:tcPr>
          <w:p w14:paraId="0DA072BD">
            <w:pPr>
              <w:pStyle w:val="19"/>
              <w:numPr>
                <w:ilvl w:val="0"/>
                <w:numId w:val="4"/>
              </w:numPr>
              <w:bidi/>
              <w:spacing w:after="0" w:line="240" w:lineRule="auto"/>
              <w:ind w:left="418"/>
              <w:jc w:val="lowKashida"/>
              <w:rPr>
                <w:rFonts w:asciiTheme="majorBidi" w:hAnsiTheme="majorBidi" w:cstheme="majorBidi"/>
                <w:b w:val="0"/>
                <w:bCs w:val="0"/>
                <w:sz w:val="20"/>
                <w:szCs w:val="20"/>
                <w:lang w:bidi="ar-JO"/>
              </w:rPr>
            </w:pPr>
            <w:r>
              <w:rPr>
                <w:rFonts w:asciiTheme="majorBidi" w:hAnsiTheme="majorBidi" w:cstheme="majorBidi"/>
                <w:b w:val="0"/>
                <w:bCs w:val="0"/>
                <w:sz w:val="20"/>
                <w:szCs w:val="20"/>
                <w:rtl/>
                <w:lang w:bidi="ar-JO"/>
              </w:rPr>
              <w:t>هل ترى أن الأشخاص المصابين بمرض نفسي يشكلون خطرًا على الآخرين؟</w:t>
            </w:r>
          </w:p>
        </w:tc>
        <w:tc>
          <w:tcPr>
            <w:tcW w:w="851" w:type="dxa"/>
          </w:tcPr>
          <w:p w14:paraId="5F5E76E1">
            <w:pPr>
              <w:bidi/>
              <w:spacing w:after="0" w:line="240" w:lineRule="auto"/>
              <w:ind w:right="-90"/>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2.22</w:t>
            </w:r>
          </w:p>
        </w:tc>
        <w:tc>
          <w:tcPr>
            <w:tcW w:w="836" w:type="dxa"/>
          </w:tcPr>
          <w:p w14:paraId="460374BF">
            <w:pPr>
              <w:bidi/>
              <w:spacing w:after="0" w:line="240" w:lineRule="auto"/>
              <w:ind w:right="-90"/>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0.86</w:t>
            </w:r>
          </w:p>
        </w:tc>
        <w:tc>
          <w:tcPr>
            <w:tcW w:w="592" w:type="dxa"/>
          </w:tcPr>
          <w:p w14:paraId="0DA2A984">
            <w:pPr>
              <w:bidi/>
              <w:spacing w:after="0" w:line="240" w:lineRule="auto"/>
              <w:jc w:val="center"/>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10</w:t>
            </w:r>
          </w:p>
        </w:tc>
        <w:tc>
          <w:tcPr>
            <w:tcW w:w="982" w:type="dxa"/>
          </w:tcPr>
          <w:p w14:paraId="344DF689">
            <w:pPr>
              <w:bidi/>
              <w:spacing w:after="0" w:line="240" w:lineRule="auto"/>
              <w:jc w:val="center"/>
              <w:rPr>
                <w:rFonts w:asciiTheme="majorBidi" w:hAnsiTheme="majorBidi" w:cstheme="majorBidi"/>
                <w:sz w:val="20"/>
                <w:szCs w:val="20"/>
              </w:rPr>
            </w:pPr>
            <w:r>
              <w:rPr>
                <w:rFonts w:asciiTheme="majorBidi" w:hAnsiTheme="majorBidi" w:cstheme="majorBidi"/>
                <w:color w:val="000000" w:themeColor="text1"/>
                <w:sz w:val="20"/>
                <w:szCs w:val="20"/>
                <w:rtl/>
                <w14:textFill>
                  <w14:solidFill>
                    <w14:schemeClr w14:val="tx1"/>
                  </w14:solidFill>
                </w14:textFill>
              </w:rPr>
              <w:t>متوسط</w:t>
            </w:r>
          </w:p>
        </w:tc>
      </w:tr>
      <w:tr w14:paraId="00A5CCC0">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6099" w:type="dxa"/>
            <w:tcBorders>
              <w:top w:val="single" w:color="7E7E7E" w:themeColor="text1" w:themeTint="80" w:sz="4" w:space="0"/>
              <w:bottom w:val="single" w:color="7E7E7E" w:themeColor="text1" w:themeTint="80" w:sz="4" w:space="0"/>
              <w:insideH w:val="single" w:sz="4" w:space="0"/>
            </w:tcBorders>
          </w:tcPr>
          <w:p w14:paraId="10E0FEFD">
            <w:pPr>
              <w:pStyle w:val="19"/>
              <w:numPr>
                <w:ilvl w:val="0"/>
                <w:numId w:val="5"/>
              </w:numPr>
              <w:bidi/>
              <w:spacing w:after="0" w:line="240" w:lineRule="auto"/>
              <w:jc w:val="lowKashida"/>
              <w:rPr>
                <w:rFonts w:asciiTheme="majorBidi" w:hAnsiTheme="majorBidi" w:cstheme="majorBidi"/>
                <w:b w:val="0"/>
                <w:bCs w:val="0"/>
                <w:sz w:val="20"/>
                <w:szCs w:val="20"/>
                <w:lang w:bidi="ar-JO"/>
              </w:rPr>
            </w:pPr>
            <w:r>
              <w:rPr>
                <w:rFonts w:asciiTheme="majorBidi" w:hAnsiTheme="majorBidi" w:cstheme="majorBidi"/>
                <w:b w:val="0"/>
                <w:bCs w:val="0"/>
                <w:sz w:val="20"/>
                <w:szCs w:val="20"/>
                <w:rtl/>
                <w:lang w:bidi="ar-JO"/>
              </w:rPr>
              <w:t>إذا رأيت شخصًا في وسائل النقل العامة يتحدث مع نفسه ويقول أشياء غريبة، هل ستشعر بعدم الارتياح؟</w:t>
            </w:r>
          </w:p>
        </w:tc>
        <w:tc>
          <w:tcPr>
            <w:tcW w:w="851" w:type="dxa"/>
            <w:tcBorders>
              <w:top w:val="single" w:color="7E7E7E" w:themeColor="text1" w:themeTint="80" w:sz="4" w:space="0"/>
              <w:bottom w:val="single" w:color="7E7E7E" w:themeColor="text1" w:themeTint="80" w:sz="4" w:space="0"/>
              <w:insideH w:val="single" w:sz="4" w:space="0"/>
            </w:tcBorders>
          </w:tcPr>
          <w:p w14:paraId="22A2F991">
            <w:pPr>
              <w:bidi/>
              <w:spacing w:after="0" w:line="240" w:lineRule="auto"/>
              <w:ind w:right="-90"/>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2.29</w:t>
            </w:r>
          </w:p>
        </w:tc>
        <w:tc>
          <w:tcPr>
            <w:tcW w:w="836" w:type="dxa"/>
            <w:tcBorders>
              <w:top w:val="single" w:color="7E7E7E" w:themeColor="text1" w:themeTint="80" w:sz="4" w:space="0"/>
              <w:bottom w:val="single" w:color="7E7E7E" w:themeColor="text1" w:themeTint="80" w:sz="4" w:space="0"/>
              <w:insideH w:val="single" w:sz="4" w:space="0"/>
            </w:tcBorders>
          </w:tcPr>
          <w:p w14:paraId="614CF85B">
            <w:pPr>
              <w:bidi/>
              <w:spacing w:after="0" w:line="240" w:lineRule="auto"/>
              <w:ind w:right="-90"/>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0.88</w:t>
            </w:r>
          </w:p>
        </w:tc>
        <w:tc>
          <w:tcPr>
            <w:tcW w:w="592" w:type="dxa"/>
            <w:tcBorders>
              <w:top w:val="single" w:color="7E7E7E" w:themeColor="text1" w:themeTint="80" w:sz="4" w:space="0"/>
              <w:bottom w:val="single" w:color="7E7E7E" w:themeColor="text1" w:themeTint="80" w:sz="4" w:space="0"/>
              <w:insideH w:val="single" w:sz="4" w:space="0"/>
            </w:tcBorders>
          </w:tcPr>
          <w:p w14:paraId="60E09C3D">
            <w:pPr>
              <w:bidi/>
              <w:spacing w:after="0" w:line="240" w:lineRule="auto"/>
              <w:jc w:val="center"/>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8</w:t>
            </w:r>
          </w:p>
        </w:tc>
        <w:tc>
          <w:tcPr>
            <w:tcW w:w="982" w:type="dxa"/>
            <w:tcBorders>
              <w:top w:val="single" w:color="7E7E7E" w:themeColor="text1" w:themeTint="80" w:sz="4" w:space="0"/>
              <w:bottom w:val="single" w:color="7E7E7E" w:themeColor="text1" w:themeTint="80" w:sz="4" w:space="0"/>
              <w:insideH w:val="single" w:sz="4" w:space="0"/>
            </w:tcBorders>
          </w:tcPr>
          <w:p w14:paraId="23D6C08E">
            <w:pPr>
              <w:bidi/>
              <w:spacing w:after="0" w:line="240" w:lineRule="auto"/>
              <w:jc w:val="center"/>
              <w:rPr>
                <w:rFonts w:asciiTheme="majorBidi" w:hAnsiTheme="majorBidi" w:cstheme="majorBidi"/>
                <w:sz w:val="20"/>
                <w:szCs w:val="20"/>
              </w:rPr>
            </w:pPr>
            <w:r>
              <w:rPr>
                <w:rFonts w:asciiTheme="majorBidi" w:hAnsiTheme="majorBidi" w:cstheme="majorBidi"/>
                <w:color w:val="000000" w:themeColor="text1"/>
                <w:sz w:val="20"/>
                <w:szCs w:val="20"/>
                <w:rtl/>
                <w14:textFill>
                  <w14:solidFill>
                    <w14:schemeClr w14:val="tx1"/>
                  </w14:solidFill>
                </w14:textFill>
              </w:rPr>
              <w:t>متوسط</w:t>
            </w:r>
          </w:p>
        </w:tc>
      </w:tr>
      <w:tr w14:paraId="49A500B0">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6099" w:type="dxa"/>
          </w:tcPr>
          <w:p w14:paraId="73AC87F6">
            <w:pPr>
              <w:pStyle w:val="19"/>
              <w:numPr>
                <w:ilvl w:val="0"/>
                <w:numId w:val="5"/>
              </w:numPr>
              <w:bidi/>
              <w:spacing w:after="0" w:line="240" w:lineRule="auto"/>
              <w:ind w:left="418"/>
              <w:jc w:val="lowKashida"/>
              <w:rPr>
                <w:rFonts w:asciiTheme="majorBidi" w:hAnsiTheme="majorBidi" w:cstheme="majorBidi"/>
                <w:b w:val="0"/>
                <w:bCs w:val="0"/>
                <w:sz w:val="20"/>
                <w:szCs w:val="20"/>
                <w:lang w:bidi="ar-JO"/>
              </w:rPr>
            </w:pPr>
            <w:r>
              <w:rPr>
                <w:rFonts w:asciiTheme="majorBidi" w:hAnsiTheme="majorBidi" w:cstheme="majorBidi"/>
                <w:b w:val="0"/>
                <w:bCs w:val="0"/>
                <w:sz w:val="20"/>
                <w:szCs w:val="20"/>
                <w:rtl/>
                <w:lang w:bidi="ar-JO"/>
              </w:rPr>
              <w:t>إذا تم تشخيص شخص تعرفه بمرض نفسي، هل ستتعامل معه بشكل مختلف؟</w:t>
            </w:r>
          </w:p>
        </w:tc>
        <w:tc>
          <w:tcPr>
            <w:tcW w:w="851" w:type="dxa"/>
          </w:tcPr>
          <w:p w14:paraId="3CE8DAA2">
            <w:pPr>
              <w:bidi/>
              <w:spacing w:after="0" w:line="240" w:lineRule="auto"/>
              <w:ind w:right="-90"/>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2.26</w:t>
            </w:r>
          </w:p>
        </w:tc>
        <w:tc>
          <w:tcPr>
            <w:tcW w:w="836" w:type="dxa"/>
          </w:tcPr>
          <w:p w14:paraId="4C185E61">
            <w:pPr>
              <w:bidi/>
              <w:spacing w:after="0" w:line="240" w:lineRule="auto"/>
              <w:ind w:right="-90"/>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0.82</w:t>
            </w:r>
          </w:p>
        </w:tc>
        <w:tc>
          <w:tcPr>
            <w:tcW w:w="592" w:type="dxa"/>
          </w:tcPr>
          <w:p w14:paraId="5DE98DCC">
            <w:pPr>
              <w:bidi/>
              <w:spacing w:after="0" w:line="240" w:lineRule="auto"/>
              <w:jc w:val="center"/>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9</w:t>
            </w:r>
          </w:p>
        </w:tc>
        <w:tc>
          <w:tcPr>
            <w:tcW w:w="982" w:type="dxa"/>
          </w:tcPr>
          <w:p w14:paraId="63F1ADCA">
            <w:pPr>
              <w:bidi/>
              <w:spacing w:after="0" w:line="240" w:lineRule="auto"/>
              <w:jc w:val="center"/>
              <w:rPr>
                <w:rFonts w:asciiTheme="majorBidi" w:hAnsiTheme="majorBidi" w:cstheme="majorBidi"/>
                <w:sz w:val="20"/>
                <w:szCs w:val="20"/>
              </w:rPr>
            </w:pPr>
            <w:r>
              <w:rPr>
                <w:rFonts w:asciiTheme="majorBidi" w:hAnsiTheme="majorBidi" w:cstheme="majorBidi"/>
                <w:color w:val="000000" w:themeColor="text1"/>
                <w:sz w:val="20"/>
                <w:szCs w:val="20"/>
                <w:rtl/>
                <w14:textFill>
                  <w14:solidFill>
                    <w14:schemeClr w14:val="tx1"/>
                  </w14:solidFill>
                </w14:textFill>
              </w:rPr>
              <w:t>متوسط</w:t>
            </w:r>
          </w:p>
        </w:tc>
      </w:tr>
      <w:tr w14:paraId="0AA9D129">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6099" w:type="dxa"/>
            <w:tcBorders>
              <w:top w:val="single" w:color="7E7E7E" w:themeColor="text1" w:themeTint="80" w:sz="4" w:space="0"/>
              <w:bottom w:val="single" w:color="7E7E7E" w:themeColor="text1" w:themeTint="80" w:sz="4" w:space="0"/>
              <w:insideH w:val="single" w:sz="4" w:space="0"/>
            </w:tcBorders>
          </w:tcPr>
          <w:p w14:paraId="5A1845C4">
            <w:pPr>
              <w:pStyle w:val="19"/>
              <w:numPr>
                <w:ilvl w:val="0"/>
                <w:numId w:val="5"/>
              </w:numPr>
              <w:bidi/>
              <w:spacing w:after="0" w:line="240" w:lineRule="auto"/>
              <w:ind w:left="418"/>
              <w:jc w:val="lowKashida"/>
              <w:rPr>
                <w:rFonts w:asciiTheme="majorBidi" w:hAnsiTheme="majorBidi" w:cstheme="majorBidi"/>
                <w:b w:val="0"/>
                <w:bCs w:val="0"/>
                <w:sz w:val="20"/>
                <w:szCs w:val="20"/>
                <w:lang w:bidi="ar-JO"/>
              </w:rPr>
            </w:pPr>
            <w:r>
              <w:rPr>
                <w:rFonts w:asciiTheme="majorBidi" w:hAnsiTheme="majorBidi" w:cstheme="majorBidi"/>
                <w:b w:val="0"/>
                <w:bCs w:val="0"/>
                <w:sz w:val="20"/>
                <w:szCs w:val="20"/>
                <w:rtl/>
                <w:lang w:bidi="ar-JO"/>
              </w:rPr>
              <w:t>هل تعتقد أن رفض المجتمع للأشخاص المصابين بمرض نفسي ناتج عن الخوف أو سوء الفهم؟</w:t>
            </w:r>
          </w:p>
        </w:tc>
        <w:tc>
          <w:tcPr>
            <w:tcW w:w="851" w:type="dxa"/>
            <w:tcBorders>
              <w:top w:val="single" w:color="7E7E7E" w:themeColor="text1" w:themeTint="80" w:sz="4" w:space="0"/>
              <w:bottom w:val="single" w:color="7E7E7E" w:themeColor="text1" w:themeTint="80" w:sz="4" w:space="0"/>
              <w:insideH w:val="single" w:sz="4" w:space="0"/>
            </w:tcBorders>
          </w:tcPr>
          <w:p w14:paraId="70394445">
            <w:pPr>
              <w:bidi/>
              <w:spacing w:after="0" w:line="240" w:lineRule="auto"/>
              <w:ind w:right="-90"/>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2.36</w:t>
            </w:r>
          </w:p>
        </w:tc>
        <w:tc>
          <w:tcPr>
            <w:tcW w:w="836" w:type="dxa"/>
            <w:tcBorders>
              <w:top w:val="single" w:color="7E7E7E" w:themeColor="text1" w:themeTint="80" w:sz="4" w:space="0"/>
              <w:bottom w:val="single" w:color="7E7E7E" w:themeColor="text1" w:themeTint="80" w:sz="4" w:space="0"/>
              <w:insideH w:val="single" w:sz="4" w:space="0"/>
            </w:tcBorders>
          </w:tcPr>
          <w:p w14:paraId="5FFD03A0">
            <w:pPr>
              <w:bidi/>
              <w:spacing w:after="0" w:line="240" w:lineRule="auto"/>
              <w:ind w:right="-90"/>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0.89</w:t>
            </w:r>
          </w:p>
        </w:tc>
        <w:tc>
          <w:tcPr>
            <w:tcW w:w="592" w:type="dxa"/>
            <w:tcBorders>
              <w:top w:val="single" w:color="7E7E7E" w:themeColor="text1" w:themeTint="80" w:sz="4" w:space="0"/>
              <w:bottom w:val="single" w:color="7E7E7E" w:themeColor="text1" w:themeTint="80" w:sz="4" w:space="0"/>
              <w:insideH w:val="single" w:sz="4" w:space="0"/>
            </w:tcBorders>
          </w:tcPr>
          <w:p w14:paraId="0880F502">
            <w:pPr>
              <w:bidi/>
              <w:spacing w:after="0" w:line="240" w:lineRule="auto"/>
              <w:jc w:val="center"/>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7</w:t>
            </w:r>
          </w:p>
        </w:tc>
        <w:tc>
          <w:tcPr>
            <w:tcW w:w="982" w:type="dxa"/>
            <w:tcBorders>
              <w:top w:val="single" w:color="7E7E7E" w:themeColor="text1" w:themeTint="80" w:sz="4" w:space="0"/>
              <w:bottom w:val="single" w:color="7E7E7E" w:themeColor="text1" w:themeTint="80" w:sz="4" w:space="0"/>
              <w:insideH w:val="single" w:sz="4" w:space="0"/>
            </w:tcBorders>
          </w:tcPr>
          <w:p w14:paraId="56440612">
            <w:pPr>
              <w:bidi/>
              <w:spacing w:after="0" w:line="240" w:lineRule="auto"/>
              <w:jc w:val="center"/>
              <w:rPr>
                <w:rFonts w:asciiTheme="majorBidi" w:hAnsiTheme="majorBidi" w:cstheme="majorBidi"/>
                <w:sz w:val="20"/>
                <w:szCs w:val="20"/>
              </w:rPr>
            </w:pPr>
            <w:r>
              <w:rPr>
                <w:rFonts w:asciiTheme="majorBidi" w:hAnsiTheme="majorBidi" w:cstheme="majorBidi"/>
                <w:color w:val="000000" w:themeColor="text1"/>
                <w:sz w:val="20"/>
                <w:szCs w:val="20"/>
                <w:rtl/>
                <w14:textFill>
                  <w14:solidFill>
                    <w14:schemeClr w14:val="tx1"/>
                  </w14:solidFill>
                </w14:textFill>
              </w:rPr>
              <w:t>مرتفع</w:t>
            </w:r>
          </w:p>
        </w:tc>
      </w:tr>
      <w:tr w14:paraId="66DE3AAC">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6099" w:type="dxa"/>
          </w:tcPr>
          <w:p w14:paraId="2FC9C599">
            <w:pPr>
              <w:pStyle w:val="19"/>
              <w:numPr>
                <w:ilvl w:val="0"/>
                <w:numId w:val="5"/>
              </w:numPr>
              <w:bidi/>
              <w:spacing w:after="0" w:line="240" w:lineRule="auto"/>
              <w:ind w:left="418"/>
              <w:jc w:val="lowKashida"/>
              <w:rPr>
                <w:rFonts w:asciiTheme="majorBidi" w:hAnsiTheme="majorBidi" w:cstheme="majorBidi"/>
                <w:b w:val="0"/>
                <w:bCs w:val="0"/>
                <w:sz w:val="20"/>
                <w:szCs w:val="20"/>
                <w:lang w:bidi="ar-JO"/>
              </w:rPr>
            </w:pPr>
            <w:r>
              <w:rPr>
                <w:rFonts w:asciiTheme="majorBidi" w:hAnsiTheme="majorBidi" w:cstheme="majorBidi"/>
                <w:b w:val="0"/>
                <w:bCs w:val="0"/>
                <w:sz w:val="20"/>
                <w:szCs w:val="20"/>
                <w:rtl/>
                <w:lang w:bidi="ar-JO"/>
              </w:rPr>
              <w:t>هل تعتقد أن وسائل الإعلام تقدم صورة سلبية عن الأشخاص المصابين بأمراض نفسية؟</w:t>
            </w:r>
          </w:p>
        </w:tc>
        <w:tc>
          <w:tcPr>
            <w:tcW w:w="851" w:type="dxa"/>
          </w:tcPr>
          <w:p w14:paraId="6AAE3ECB">
            <w:pPr>
              <w:bidi/>
              <w:spacing w:after="0" w:line="240" w:lineRule="auto"/>
              <w:ind w:right="-90"/>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2.17</w:t>
            </w:r>
          </w:p>
        </w:tc>
        <w:tc>
          <w:tcPr>
            <w:tcW w:w="836" w:type="dxa"/>
          </w:tcPr>
          <w:p w14:paraId="39ABE523">
            <w:pPr>
              <w:bidi/>
              <w:spacing w:after="0" w:line="240" w:lineRule="auto"/>
              <w:ind w:right="-90"/>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0.94</w:t>
            </w:r>
          </w:p>
        </w:tc>
        <w:tc>
          <w:tcPr>
            <w:tcW w:w="592" w:type="dxa"/>
          </w:tcPr>
          <w:p w14:paraId="12823F11">
            <w:pPr>
              <w:bidi/>
              <w:spacing w:after="0" w:line="240" w:lineRule="auto"/>
              <w:jc w:val="center"/>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11</w:t>
            </w:r>
          </w:p>
        </w:tc>
        <w:tc>
          <w:tcPr>
            <w:tcW w:w="982" w:type="dxa"/>
          </w:tcPr>
          <w:p w14:paraId="29BA305D">
            <w:pPr>
              <w:bidi/>
              <w:spacing w:after="0" w:line="240" w:lineRule="auto"/>
              <w:jc w:val="center"/>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متوسط</w:t>
            </w:r>
          </w:p>
        </w:tc>
      </w:tr>
      <w:tr w14:paraId="74E77B3C">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6099" w:type="dxa"/>
            <w:tcBorders>
              <w:top w:val="single" w:color="7E7E7E" w:themeColor="text1" w:themeTint="80" w:sz="4" w:space="0"/>
              <w:bottom w:val="single" w:color="7E7E7E" w:themeColor="text1" w:themeTint="80" w:sz="4" w:space="0"/>
              <w:insideH w:val="single" w:sz="4" w:space="0"/>
            </w:tcBorders>
          </w:tcPr>
          <w:p w14:paraId="767DBEFC">
            <w:pPr>
              <w:pStyle w:val="19"/>
              <w:numPr>
                <w:ilvl w:val="0"/>
                <w:numId w:val="5"/>
              </w:numPr>
              <w:bidi/>
              <w:spacing w:after="0" w:line="240" w:lineRule="auto"/>
              <w:ind w:left="418"/>
              <w:jc w:val="lowKashida"/>
              <w:rPr>
                <w:rFonts w:asciiTheme="majorBidi" w:hAnsiTheme="majorBidi" w:cstheme="majorBidi"/>
                <w:b w:val="0"/>
                <w:bCs w:val="0"/>
                <w:sz w:val="20"/>
                <w:szCs w:val="20"/>
                <w:lang w:bidi="ar-JO"/>
              </w:rPr>
            </w:pPr>
            <w:r>
              <w:rPr>
                <w:rFonts w:asciiTheme="majorBidi" w:hAnsiTheme="majorBidi" w:cstheme="majorBidi"/>
                <w:b w:val="0"/>
                <w:bCs w:val="0"/>
                <w:sz w:val="20"/>
                <w:szCs w:val="20"/>
                <w:rtl/>
                <w:lang w:bidi="ar-JO"/>
              </w:rPr>
              <w:t>هل تعتقد أن الوصمة الاجتماعية هي العائق الرئيسي أمام دمج الأشخاص المصابين بمرض نفسي شديد في المجتمع؟</w:t>
            </w:r>
          </w:p>
        </w:tc>
        <w:tc>
          <w:tcPr>
            <w:tcW w:w="851" w:type="dxa"/>
            <w:tcBorders>
              <w:top w:val="single" w:color="7E7E7E" w:themeColor="text1" w:themeTint="80" w:sz="4" w:space="0"/>
              <w:bottom w:val="single" w:color="7E7E7E" w:themeColor="text1" w:themeTint="80" w:sz="4" w:space="0"/>
              <w:insideH w:val="single" w:sz="4" w:space="0"/>
            </w:tcBorders>
          </w:tcPr>
          <w:p w14:paraId="5114B5F8">
            <w:pPr>
              <w:bidi/>
              <w:spacing w:after="0" w:line="240" w:lineRule="auto"/>
              <w:ind w:right="-90"/>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2.56</w:t>
            </w:r>
          </w:p>
        </w:tc>
        <w:tc>
          <w:tcPr>
            <w:tcW w:w="836" w:type="dxa"/>
            <w:tcBorders>
              <w:top w:val="single" w:color="7E7E7E" w:themeColor="text1" w:themeTint="80" w:sz="4" w:space="0"/>
              <w:bottom w:val="single" w:color="7E7E7E" w:themeColor="text1" w:themeTint="80" w:sz="4" w:space="0"/>
              <w:insideH w:val="single" w:sz="4" w:space="0"/>
            </w:tcBorders>
          </w:tcPr>
          <w:p w14:paraId="2295BEA4">
            <w:pPr>
              <w:bidi/>
              <w:spacing w:after="0" w:line="240" w:lineRule="auto"/>
              <w:ind w:right="-90"/>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0.72</w:t>
            </w:r>
          </w:p>
        </w:tc>
        <w:tc>
          <w:tcPr>
            <w:tcW w:w="592" w:type="dxa"/>
            <w:tcBorders>
              <w:top w:val="single" w:color="7E7E7E" w:themeColor="text1" w:themeTint="80" w:sz="4" w:space="0"/>
              <w:bottom w:val="single" w:color="7E7E7E" w:themeColor="text1" w:themeTint="80" w:sz="4" w:space="0"/>
              <w:insideH w:val="single" w:sz="4" w:space="0"/>
            </w:tcBorders>
          </w:tcPr>
          <w:p w14:paraId="65BF615C">
            <w:pPr>
              <w:spacing w:after="0" w:line="240" w:lineRule="auto"/>
              <w:jc w:val="center"/>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3</w:t>
            </w:r>
          </w:p>
        </w:tc>
        <w:tc>
          <w:tcPr>
            <w:tcW w:w="982" w:type="dxa"/>
            <w:tcBorders>
              <w:top w:val="single" w:color="7E7E7E" w:themeColor="text1" w:themeTint="80" w:sz="4" w:space="0"/>
              <w:bottom w:val="single" w:color="7E7E7E" w:themeColor="text1" w:themeTint="80" w:sz="4" w:space="0"/>
              <w:insideH w:val="single" w:sz="4" w:space="0"/>
            </w:tcBorders>
          </w:tcPr>
          <w:p w14:paraId="7A06E0B5">
            <w:pPr>
              <w:spacing w:after="0" w:line="240" w:lineRule="auto"/>
              <w:jc w:val="center"/>
              <w:rPr>
                <w:rFonts w:asciiTheme="majorBidi" w:hAnsiTheme="majorBidi" w:cstheme="majorBidi"/>
                <w:sz w:val="20"/>
                <w:szCs w:val="20"/>
              </w:rPr>
            </w:pPr>
            <w:r>
              <w:rPr>
                <w:rFonts w:asciiTheme="majorBidi" w:hAnsiTheme="majorBidi" w:cstheme="majorBidi"/>
                <w:color w:val="000000" w:themeColor="text1"/>
                <w:sz w:val="20"/>
                <w:szCs w:val="20"/>
                <w:rtl/>
                <w14:textFill>
                  <w14:solidFill>
                    <w14:schemeClr w14:val="tx1"/>
                  </w14:solidFill>
                </w14:textFill>
              </w:rPr>
              <w:t>مرتفع</w:t>
            </w:r>
          </w:p>
        </w:tc>
      </w:tr>
      <w:tr w14:paraId="24807517">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6099" w:type="dxa"/>
          </w:tcPr>
          <w:p w14:paraId="6F6F93D2">
            <w:pPr>
              <w:pStyle w:val="19"/>
              <w:numPr>
                <w:ilvl w:val="0"/>
                <w:numId w:val="5"/>
              </w:numPr>
              <w:bidi/>
              <w:spacing w:after="0" w:line="240" w:lineRule="auto"/>
              <w:ind w:left="418"/>
              <w:jc w:val="lowKashida"/>
              <w:rPr>
                <w:rFonts w:asciiTheme="majorBidi" w:hAnsiTheme="majorBidi" w:cstheme="majorBidi"/>
                <w:b w:val="0"/>
                <w:bCs w:val="0"/>
                <w:sz w:val="20"/>
                <w:szCs w:val="20"/>
                <w:lang w:bidi="ar-JO"/>
              </w:rPr>
            </w:pPr>
            <w:r>
              <w:rPr>
                <w:rFonts w:asciiTheme="majorBidi" w:hAnsiTheme="majorBidi" w:cstheme="majorBidi"/>
                <w:b w:val="0"/>
                <w:bCs w:val="0"/>
                <w:sz w:val="20"/>
                <w:szCs w:val="20"/>
                <w:rtl/>
                <w:lang w:bidi="ar-JO"/>
              </w:rPr>
              <w:t>هل تعتقد أنه يجب علاج الأشخاص المصابين بمرض نفسي في مراكز متخصصة بعيدًا عن المجتمع؟</w:t>
            </w:r>
          </w:p>
        </w:tc>
        <w:tc>
          <w:tcPr>
            <w:tcW w:w="851" w:type="dxa"/>
          </w:tcPr>
          <w:p w14:paraId="2686D634">
            <w:pPr>
              <w:bidi/>
              <w:spacing w:after="0" w:line="240" w:lineRule="auto"/>
              <w:ind w:right="-90"/>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2.45</w:t>
            </w:r>
          </w:p>
        </w:tc>
        <w:tc>
          <w:tcPr>
            <w:tcW w:w="836" w:type="dxa"/>
          </w:tcPr>
          <w:p w14:paraId="1DD4468F">
            <w:pPr>
              <w:bidi/>
              <w:spacing w:after="0" w:line="240" w:lineRule="auto"/>
              <w:ind w:right="-90"/>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0.79</w:t>
            </w:r>
          </w:p>
        </w:tc>
        <w:tc>
          <w:tcPr>
            <w:tcW w:w="592" w:type="dxa"/>
          </w:tcPr>
          <w:p w14:paraId="73A3A23B">
            <w:pPr>
              <w:spacing w:after="0" w:line="240" w:lineRule="auto"/>
              <w:jc w:val="center"/>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6</w:t>
            </w:r>
          </w:p>
        </w:tc>
        <w:tc>
          <w:tcPr>
            <w:tcW w:w="982" w:type="dxa"/>
          </w:tcPr>
          <w:p w14:paraId="679399CE">
            <w:pPr>
              <w:spacing w:after="0" w:line="240" w:lineRule="auto"/>
              <w:jc w:val="center"/>
              <w:rPr>
                <w:rFonts w:asciiTheme="majorBidi" w:hAnsiTheme="majorBidi" w:cstheme="majorBidi"/>
                <w:sz w:val="20"/>
                <w:szCs w:val="20"/>
              </w:rPr>
            </w:pPr>
            <w:r>
              <w:rPr>
                <w:rFonts w:asciiTheme="majorBidi" w:hAnsiTheme="majorBidi" w:cstheme="majorBidi"/>
                <w:color w:val="000000" w:themeColor="text1"/>
                <w:sz w:val="20"/>
                <w:szCs w:val="20"/>
                <w:rtl/>
                <w14:textFill>
                  <w14:solidFill>
                    <w14:schemeClr w14:val="tx1"/>
                  </w14:solidFill>
                </w14:textFill>
              </w:rPr>
              <w:t>مرتفع</w:t>
            </w:r>
          </w:p>
        </w:tc>
      </w:tr>
      <w:tr w14:paraId="1A474FAA">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6099" w:type="dxa"/>
            <w:tcBorders>
              <w:top w:val="single" w:color="7E7E7E" w:themeColor="text1" w:themeTint="80" w:sz="4" w:space="0"/>
              <w:bottom w:val="single" w:color="7E7E7E" w:themeColor="text1" w:themeTint="80" w:sz="4" w:space="0"/>
              <w:insideH w:val="single" w:sz="4" w:space="0"/>
            </w:tcBorders>
          </w:tcPr>
          <w:p w14:paraId="6F18B37E">
            <w:pPr>
              <w:pStyle w:val="19"/>
              <w:numPr>
                <w:ilvl w:val="0"/>
                <w:numId w:val="5"/>
              </w:numPr>
              <w:bidi/>
              <w:spacing w:after="0" w:line="240" w:lineRule="auto"/>
              <w:ind w:left="418"/>
              <w:jc w:val="lowKashida"/>
              <w:rPr>
                <w:rFonts w:asciiTheme="majorBidi" w:hAnsiTheme="majorBidi" w:cstheme="majorBidi"/>
                <w:b w:val="0"/>
                <w:bCs w:val="0"/>
                <w:sz w:val="20"/>
                <w:szCs w:val="20"/>
                <w:lang w:bidi="ar-JO"/>
              </w:rPr>
            </w:pPr>
            <w:r>
              <w:rPr>
                <w:rFonts w:asciiTheme="majorBidi" w:hAnsiTheme="majorBidi" w:cstheme="majorBidi"/>
                <w:b w:val="0"/>
                <w:bCs w:val="0"/>
                <w:sz w:val="20"/>
                <w:szCs w:val="20"/>
                <w:rtl/>
                <w:lang w:bidi="ar-JO"/>
              </w:rPr>
              <w:t>هل تعتقد أن الأشخاص يصابون بمرض نفسي بسبب ضعف الشخصية أو سوء السلوك؟</w:t>
            </w:r>
          </w:p>
        </w:tc>
        <w:tc>
          <w:tcPr>
            <w:tcW w:w="851" w:type="dxa"/>
            <w:tcBorders>
              <w:top w:val="single" w:color="7E7E7E" w:themeColor="text1" w:themeTint="80" w:sz="4" w:space="0"/>
              <w:bottom w:val="single" w:color="7E7E7E" w:themeColor="text1" w:themeTint="80" w:sz="4" w:space="0"/>
              <w:insideH w:val="single" w:sz="4" w:space="0"/>
            </w:tcBorders>
          </w:tcPr>
          <w:p w14:paraId="21AAD532">
            <w:pPr>
              <w:bidi/>
              <w:spacing w:after="0" w:line="240" w:lineRule="auto"/>
              <w:ind w:right="-90"/>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2.50</w:t>
            </w:r>
          </w:p>
        </w:tc>
        <w:tc>
          <w:tcPr>
            <w:tcW w:w="836" w:type="dxa"/>
            <w:tcBorders>
              <w:top w:val="single" w:color="7E7E7E" w:themeColor="text1" w:themeTint="80" w:sz="4" w:space="0"/>
              <w:bottom w:val="single" w:color="7E7E7E" w:themeColor="text1" w:themeTint="80" w:sz="4" w:space="0"/>
              <w:insideH w:val="single" w:sz="4" w:space="0"/>
            </w:tcBorders>
          </w:tcPr>
          <w:p w14:paraId="31C1B2B6">
            <w:pPr>
              <w:bidi/>
              <w:spacing w:after="0" w:line="240" w:lineRule="auto"/>
              <w:ind w:right="-90"/>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0.69</w:t>
            </w:r>
          </w:p>
        </w:tc>
        <w:tc>
          <w:tcPr>
            <w:tcW w:w="592" w:type="dxa"/>
            <w:tcBorders>
              <w:top w:val="single" w:color="7E7E7E" w:themeColor="text1" w:themeTint="80" w:sz="4" w:space="0"/>
              <w:bottom w:val="single" w:color="7E7E7E" w:themeColor="text1" w:themeTint="80" w:sz="4" w:space="0"/>
              <w:insideH w:val="single" w:sz="4" w:space="0"/>
            </w:tcBorders>
          </w:tcPr>
          <w:p w14:paraId="6EF1B7E5">
            <w:pPr>
              <w:spacing w:after="0" w:line="240" w:lineRule="auto"/>
              <w:jc w:val="center"/>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4</w:t>
            </w:r>
          </w:p>
        </w:tc>
        <w:tc>
          <w:tcPr>
            <w:tcW w:w="982" w:type="dxa"/>
            <w:tcBorders>
              <w:top w:val="single" w:color="7E7E7E" w:themeColor="text1" w:themeTint="80" w:sz="4" w:space="0"/>
              <w:bottom w:val="single" w:color="7E7E7E" w:themeColor="text1" w:themeTint="80" w:sz="4" w:space="0"/>
              <w:insideH w:val="single" w:sz="4" w:space="0"/>
            </w:tcBorders>
          </w:tcPr>
          <w:p w14:paraId="4A28CCD8">
            <w:pPr>
              <w:spacing w:after="0" w:line="240" w:lineRule="auto"/>
              <w:jc w:val="center"/>
              <w:rPr>
                <w:rFonts w:asciiTheme="majorBidi" w:hAnsiTheme="majorBidi" w:cstheme="majorBidi"/>
                <w:sz w:val="20"/>
                <w:szCs w:val="20"/>
              </w:rPr>
            </w:pPr>
            <w:r>
              <w:rPr>
                <w:rFonts w:asciiTheme="majorBidi" w:hAnsiTheme="majorBidi" w:cstheme="majorBidi"/>
                <w:color w:val="000000" w:themeColor="text1"/>
                <w:sz w:val="20"/>
                <w:szCs w:val="20"/>
                <w:rtl/>
                <w14:textFill>
                  <w14:solidFill>
                    <w14:schemeClr w14:val="tx1"/>
                  </w14:solidFill>
                </w14:textFill>
              </w:rPr>
              <w:t>مرتفع</w:t>
            </w:r>
          </w:p>
        </w:tc>
      </w:tr>
      <w:tr w14:paraId="673CD204">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3" w:hRule="atLeast"/>
        </w:trPr>
        <w:tc>
          <w:tcPr>
            <w:tcW w:w="6099" w:type="dxa"/>
          </w:tcPr>
          <w:p w14:paraId="3CC7F464">
            <w:pPr>
              <w:bidi/>
              <w:spacing w:after="0" w:line="240" w:lineRule="auto"/>
              <w:ind w:right="-90"/>
              <w:jc w:val="lowKashida"/>
              <w:rPr>
                <w:rFonts w:asciiTheme="majorBidi" w:hAnsiTheme="majorBidi" w:cstheme="majorBidi"/>
                <w:b w:val="0"/>
                <w:bCs w:val="0"/>
                <w:color w:val="000000" w:themeColor="text1"/>
                <w:sz w:val="20"/>
                <w:szCs w:val="20"/>
                <w:rtl/>
                <w14:textFill>
                  <w14:solidFill>
                    <w14:schemeClr w14:val="tx1"/>
                  </w14:solidFill>
                </w14:textFill>
              </w:rPr>
            </w:pPr>
            <w:r>
              <w:rPr>
                <w:rFonts w:asciiTheme="majorBidi" w:hAnsiTheme="majorBidi" w:cstheme="majorBidi"/>
                <w:b w:val="0"/>
                <w:bCs w:val="0"/>
                <w:color w:val="000000" w:themeColor="text1"/>
                <w:sz w:val="20"/>
                <w:szCs w:val="20"/>
                <w:rtl/>
                <w14:textFill>
                  <w14:solidFill>
                    <w14:schemeClr w14:val="tx1"/>
                  </w14:solidFill>
                </w14:textFill>
              </w:rPr>
              <w:t>البعد ككل</w:t>
            </w:r>
          </w:p>
        </w:tc>
        <w:tc>
          <w:tcPr>
            <w:tcW w:w="851" w:type="dxa"/>
          </w:tcPr>
          <w:p w14:paraId="5DF76CAE">
            <w:pPr>
              <w:bidi/>
              <w:spacing w:after="0" w:line="240" w:lineRule="auto"/>
              <w:ind w:right="-90"/>
              <w:jc w:val="lowKashida"/>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2.44</w:t>
            </w:r>
          </w:p>
        </w:tc>
        <w:tc>
          <w:tcPr>
            <w:tcW w:w="1428" w:type="dxa"/>
            <w:gridSpan w:val="2"/>
          </w:tcPr>
          <w:p w14:paraId="78112C92">
            <w:pPr>
              <w:bidi/>
              <w:spacing w:after="0" w:line="240" w:lineRule="auto"/>
              <w:ind w:right="-90"/>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0.27</w:t>
            </w:r>
          </w:p>
        </w:tc>
        <w:tc>
          <w:tcPr>
            <w:tcW w:w="982" w:type="dxa"/>
          </w:tcPr>
          <w:p w14:paraId="45E7C351">
            <w:pPr>
              <w:bidi/>
              <w:spacing w:after="0" w:line="240" w:lineRule="auto"/>
              <w:ind w:right="-90"/>
              <w:jc w:val="center"/>
              <w:rPr>
                <w:rFonts w:asciiTheme="majorBidi" w:hAnsiTheme="majorBidi" w:cstheme="majorBidi"/>
                <w:color w:val="000000" w:themeColor="text1"/>
                <w:sz w:val="20"/>
                <w:szCs w:val="20"/>
                <w:rtl/>
                <w14:textFill>
                  <w14:solidFill>
                    <w14:schemeClr w14:val="tx1"/>
                  </w14:solidFill>
                </w14:textFill>
              </w:rPr>
            </w:pPr>
            <w:r>
              <w:rPr>
                <w:rFonts w:asciiTheme="majorBidi" w:hAnsiTheme="majorBidi" w:cstheme="majorBidi"/>
                <w:color w:val="000000" w:themeColor="text1"/>
                <w:sz w:val="20"/>
                <w:szCs w:val="20"/>
                <w:rtl/>
                <w14:textFill>
                  <w14:solidFill>
                    <w14:schemeClr w14:val="tx1"/>
                  </w14:solidFill>
                </w14:textFill>
              </w:rPr>
              <w:t>مرتفع</w:t>
            </w:r>
          </w:p>
        </w:tc>
      </w:tr>
    </w:tbl>
    <w:p w14:paraId="466604A2">
      <w:pPr>
        <w:bidi/>
        <w:spacing w:before="100" w:beforeAutospacing="1" w:after="100" w:afterAutospacing="1" w:line="360" w:lineRule="auto"/>
        <w:jc w:val="lowKashida"/>
        <w:rPr>
          <w:rFonts w:eastAsia="Times New Roman" w:asciiTheme="majorBidi" w:hAnsiTheme="majorBidi" w:cstheme="majorBidi"/>
          <w:kern w:val="0"/>
          <w:rtl/>
          <w14:ligatures w14:val="none"/>
        </w:rPr>
      </w:pPr>
      <w:r>
        <w:rPr>
          <w:rFonts w:eastAsia="Times New Roman" w:asciiTheme="majorBidi" w:hAnsiTheme="majorBidi" w:cstheme="majorBidi"/>
          <w:kern w:val="0"/>
          <w:rtl/>
          <w14:ligatures w14:val="none"/>
        </w:rPr>
        <w:t xml:space="preserve">يتبين من الجدول (6) أن المتوسط الحسابي لمستوى الوصمة الاجتماعية بلغ (2.44) وبدرجة </w:t>
      </w:r>
      <w:r>
        <w:rPr>
          <w:rFonts w:eastAsia="Times New Roman" w:asciiTheme="majorBidi" w:hAnsiTheme="majorBidi" w:cstheme="majorBidi"/>
          <w:b/>
          <w:bCs/>
          <w:kern w:val="0"/>
          <w:rtl/>
          <w14:ligatures w14:val="none"/>
        </w:rPr>
        <w:t>مرتفعة</w:t>
      </w:r>
      <w:r>
        <w:rPr>
          <w:rFonts w:eastAsia="Times New Roman" w:asciiTheme="majorBidi" w:hAnsiTheme="majorBidi" w:cstheme="majorBidi"/>
          <w:kern w:val="0"/>
          <w:rtl/>
          <w14:ligatures w14:val="none"/>
        </w:rPr>
        <w:t>، حيث تراوحت المتوسطات الحسابية لفقرات البعد ما بين (2.17–2.85) بدرجات تراوحت بين المتوسطة والمرتفعة، وقد حصلت الفقرة التي نصت على: "</w:t>
      </w:r>
      <w:r>
        <w:rPr>
          <w:rFonts w:asciiTheme="majorBidi" w:hAnsiTheme="majorBidi" w:cstheme="majorBidi"/>
          <w:rtl/>
          <w:lang w:bidi="ar-JO"/>
        </w:rPr>
        <w:t xml:space="preserve"> هل تعتقد أن الأشخاص المصابين بمرض نفسي يواجهون صعوبات أثناء مقابلات العمل؟</w:t>
      </w:r>
      <w:r>
        <w:rPr>
          <w:rFonts w:eastAsia="Times New Roman" w:asciiTheme="majorBidi" w:hAnsiTheme="majorBidi" w:cstheme="majorBidi"/>
          <w:kern w:val="0"/>
          <w:rtl/>
          <w14:ligatures w14:val="none"/>
        </w:rPr>
        <w:t>" على أعلى متوسط حسابي بلغ (2.85) وبدرجة مرتفعة، تلتها الفقرة التي نصت على: "</w:t>
      </w:r>
      <w:r>
        <w:rPr>
          <w:rFonts w:asciiTheme="majorBidi" w:hAnsiTheme="majorBidi" w:cstheme="majorBidi"/>
          <w:rtl/>
          <w:lang w:bidi="ar-JO"/>
        </w:rPr>
        <w:t xml:space="preserve"> هل تعتقد أنه يجب معاملة الأشخاص المصابين بمرض نفسي بطريقة مختلفة عن الآخرين؟</w:t>
      </w:r>
      <w:r>
        <w:rPr>
          <w:rFonts w:eastAsia="Times New Roman" w:asciiTheme="majorBidi" w:hAnsiTheme="majorBidi" w:cstheme="majorBidi"/>
          <w:kern w:val="0"/>
          <w:rtl/>
          <w14:ligatures w14:val="none"/>
        </w:rPr>
        <w:t>" بمتوسط (2.64) وبدرجة مرتفعة. في المقابل، حصلت الفقرة التي نصت على: "</w:t>
      </w:r>
      <w:r>
        <w:rPr>
          <w:rFonts w:asciiTheme="majorBidi" w:hAnsiTheme="majorBidi" w:cstheme="majorBidi"/>
          <w:rtl/>
          <w:lang w:bidi="ar-JO"/>
        </w:rPr>
        <w:t xml:space="preserve"> هل تعتقد أن وسائل الإعلام تقدم صورة سلبية عن الأشخاص المصابين بأمراض نفسية؟</w:t>
      </w:r>
      <w:r>
        <w:rPr>
          <w:rFonts w:eastAsia="Times New Roman" w:asciiTheme="majorBidi" w:hAnsiTheme="majorBidi" w:cstheme="majorBidi"/>
          <w:kern w:val="0"/>
          <w:rtl/>
          <w14:ligatures w14:val="none"/>
        </w:rPr>
        <w:t xml:space="preserve">" على أدنى متوسط حسابي بلغ (2.17) وبدرجة متوسطة. </w:t>
      </w:r>
    </w:p>
    <w:p w14:paraId="162A778E">
      <w:pPr>
        <w:bidi/>
        <w:spacing w:before="100" w:beforeAutospacing="1" w:after="100" w:afterAutospacing="1" w:line="360" w:lineRule="auto"/>
        <w:ind w:firstLine="720"/>
        <w:jc w:val="lowKashida"/>
        <w:rPr>
          <w:rFonts w:eastAsia="Times New Roman" w:asciiTheme="majorBidi" w:hAnsiTheme="majorBidi" w:cstheme="majorBidi"/>
          <w:kern w:val="0"/>
          <w:rtl/>
          <w14:ligatures w14:val="none"/>
        </w:rPr>
      </w:pPr>
      <w:r>
        <w:rPr>
          <w:rFonts w:hint="cs" w:eastAsia="Times New Roman" w:asciiTheme="majorBidi" w:hAnsiTheme="majorBidi" w:cstheme="majorBidi"/>
          <w:kern w:val="0"/>
          <w:rtl/>
          <w:lang w:bidi="ar-JO"/>
          <w14:ligatures w14:val="none"/>
        </w:rPr>
        <w:t>و</w:t>
      </w:r>
      <w:r>
        <w:rPr>
          <w:rFonts w:eastAsia="Times New Roman" w:asciiTheme="majorBidi" w:hAnsiTheme="majorBidi" w:cstheme="majorBidi"/>
          <w:kern w:val="0"/>
          <w:rtl/>
          <w14:ligatures w14:val="none"/>
        </w:rPr>
        <w:t xml:space="preserve">تتفق </w:t>
      </w:r>
      <w:r>
        <w:rPr>
          <w:rFonts w:hint="cs" w:eastAsia="Times New Roman" w:asciiTheme="majorBidi" w:hAnsiTheme="majorBidi" w:cstheme="majorBidi"/>
          <w:kern w:val="0"/>
          <w:rtl/>
          <w14:ligatures w14:val="none"/>
        </w:rPr>
        <w:t>نتيجة الدراسة الحالية مع ما توصلت ال</w:t>
      </w:r>
      <w:r>
        <w:rPr>
          <w:rFonts w:hint="cs" w:eastAsia="Times New Roman" w:asciiTheme="majorBidi" w:hAnsiTheme="majorBidi" w:cstheme="majorBidi"/>
          <w:kern w:val="0"/>
          <w:rtl/>
          <w:lang w:bidi="ar-JO"/>
          <w14:ligatures w14:val="none"/>
        </w:rPr>
        <w:t>يه</w:t>
      </w:r>
      <w:r>
        <w:rPr>
          <w:rFonts w:eastAsia="Times New Roman" w:asciiTheme="majorBidi" w:hAnsiTheme="majorBidi" w:cstheme="majorBidi"/>
          <w:kern w:val="0"/>
          <w:rtl/>
          <w14:ligatures w14:val="none"/>
        </w:rPr>
        <w:t xml:space="preserve"> دراسة </w:t>
      </w:r>
      <w:r>
        <w:rPr>
          <w:rFonts w:eastAsia="Times New Roman" w:asciiTheme="majorBidi" w:hAnsiTheme="majorBidi" w:cstheme="majorBidi"/>
          <w:kern w:val="0"/>
          <w14:ligatures w14:val="none"/>
        </w:rPr>
        <w:t xml:space="preserve"> (Al-Qerem et al., 2024) </w:t>
      </w:r>
      <w:r>
        <w:rPr>
          <w:rFonts w:eastAsia="Times New Roman" w:asciiTheme="majorBidi" w:hAnsiTheme="majorBidi" w:cstheme="majorBidi"/>
          <w:kern w:val="0"/>
          <w:rtl/>
          <w14:ligatures w14:val="none"/>
        </w:rPr>
        <w:t>التي أشارت إلى أن الوصمة الاجتماعية وقلة توفر الخدمات النفسية تُعد من أبرز العوائق أمام الحصول على العلاج النفسي في الأردن،</w:t>
      </w:r>
      <w:r>
        <w:rPr>
          <w:rFonts w:eastAsia="Times New Roman" w:asciiTheme="majorBidi" w:hAnsiTheme="majorBidi" w:cstheme="majorBidi"/>
          <w:kern w:val="0"/>
          <w14:ligatures w14:val="none"/>
        </w:rPr>
        <w:t xml:space="preserve"> </w:t>
      </w:r>
      <w:r>
        <w:rPr>
          <w:rFonts w:eastAsia="Times New Roman" w:asciiTheme="majorBidi" w:hAnsiTheme="majorBidi" w:cstheme="majorBidi"/>
          <w:kern w:val="0"/>
          <w:rtl/>
          <w14:ligatures w14:val="none"/>
        </w:rPr>
        <w:t xml:space="preserve">كما دعمت دراسة </w:t>
      </w:r>
      <w:r>
        <w:rPr>
          <w:rFonts w:eastAsia="Times New Roman" w:asciiTheme="majorBidi" w:hAnsiTheme="majorBidi" w:cstheme="majorBidi"/>
          <w:kern w:val="0"/>
          <w14:ligatures w14:val="none"/>
        </w:rPr>
        <w:t>(Simões de Almeida et al., 2023</w:t>
      </w:r>
      <w:r>
        <w:rPr>
          <w:rFonts w:eastAsia="Times New Roman" w:asciiTheme="majorBidi" w:hAnsiTheme="majorBidi" w:cstheme="majorBidi"/>
          <w:b/>
          <w:bCs/>
          <w:kern w:val="0"/>
          <w14:ligatures w14:val="none"/>
        </w:rPr>
        <w:t>)</w:t>
      </w:r>
      <w:r>
        <w:rPr>
          <w:rFonts w:eastAsia="Times New Roman" w:asciiTheme="majorBidi" w:hAnsiTheme="majorBidi" w:cstheme="majorBidi"/>
          <w:kern w:val="0"/>
          <w14:ligatures w14:val="none"/>
        </w:rPr>
        <w:t xml:space="preserve"> </w:t>
      </w:r>
      <w:r>
        <w:rPr>
          <w:rFonts w:eastAsia="Times New Roman" w:asciiTheme="majorBidi" w:hAnsiTheme="majorBidi" w:cstheme="majorBidi"/>
          <w:kern w:val="0"/>
          <w:rtl/>
          <w14:ligatures w14:val="none"/>
        </w:rPr>
        <w:t xml:space="preserve">هذا الاتجاه، حيث أظهرت وجود مستويات ملحوظة من الوصمة لدى بعض الفئات مثل كبار السن، رغم ارتفاع الوعي لدى فئات أخرى، مما يدل على أن الوصمة ما تزال قائمة ولكنها تختلف حسب الخصائص الديموغرافية. كذلك أظهرت دراسة </w:t>
      </w:r>
      <w:r>
        <w:rPr>
          <w:rFonts w:eastAsia="Times New Roman" w:asciiTheme="majorBidi" w:hAnsiTheme="majorBidi" w:cstheme="majorBidi"/>
          <w:kern w:val="0"/>
          <w14:ligatures w14:val="none"/>
        </w:rPr>
        <w:t xml:space="preserve">Koutra et al., 2024) </w:t>
      </w:r>
      <w:r>
        <w:rPr>
          <w:rFonts w:hint="cs" w:eastAsia="Times New Roman" w:asciiTheme="majorBidi" w:hAnsiTheme="majorBidi" w:cstheme="majorBidi"/>
          <w:kern w:val="0"/>
          <w:rtl/>
          <w:lang w:bidi="ar-JO"/>
          <w14:ligatures w14:val="none"/>
        </w:rPr>
        <w:t xml:space="preserve">) </w:t>
      </w:r>
      <w:r>
        <w:rPr>
          <w:rFonts w:eastAsia="Times New Roman" w:asciiTheme="majorBidi" w:hAnsiTheme="majorBidi" w:cstheme="majorBidi"/>
          <w:kern w:val="0"/>
          <w:rtl/>
          <w14:ligatures w14:val="none"/>
        </w:rPr>
        <w:t>أن الوصمة الذاتية ما تزال موجودة وتؤثر على طلب العلاج النفسي، حتى لدى فئات طلابية، مما يدعم وجود مستوى ملحوظ من الوصمة في المجتمع</w:t>
      </w:r>
      <w:r>
        <w:rPr>
          <w:rFonts w:eastAsia="Times New Roman" w:asciiTheme="majorBidi" w:hAnsiTheme="majorBidi" w:cstheme="majorBidi"/>
          <w:kern w:val="0"/>
          <w14:ligatures w14:val="none"/>
        </w:rPr>
        <w:t>.</w:t>
      </w:r>
    </w:p>
    <w:p w14:paraId="1B806F8B">
      <w:pPr>
        <w:bidi/>
        <w:spacing w:before="100" w:beforeAutospacing="1" w:after="100" w:afterAutospacing="1" w:line="360" w:lineRule="auto"/>
        <w:ind w:firstLine="720"/>
        <w:jc w:val="lowKashida"/>
        <w:rPr>
          <w:rFonts w:eastAsia="Times New Roman" w:asciiTheme="majorBidi" w:hAnsiTheme="majorBidi" w:cstheme="majorBidi"/>
          <w:kern w:val="0"/>
          <w14:ligatures w14:val="none"/>
        </w:rPr>
      </w:pPr>
      <w:r>
        <w:rPr>
          <w:rFonts w:eastAsia="Times New Roman" w:asciiTheme="majorBidi" w:hAnsiTheme="majorBidi" w:cstheme="majorBidi"/>
          <w:kern w:val="0"/>
          <w:rtl/>
          <w14:ligatures w14:val="none"/>
        </w:rPr>
        <w:t>ويُفسَّر ارتفاع مستوى الوصمة الاجتماعية في ضوء استمرار بعض المعتقدات الثقافية والاجتماعية السائدة التي تربط المرض النفسي بالخوف أو الضعف أو عدم القدرة على الاندماج الاجتماعي والمهني، إضافة إلى نقص الخبرة المباشرة والتفاعل الإيجابي مع الأفراد المصابين باضطرابات نفسية، مما يعزز الصور النمطية السلبية ويُبقي على مسافة اجتماعية بينهم وبين الآخرين، كما قد تسهم وسائل الإعلام أحيانًا في تعزيز هذه التصورات من خلال تقديم صور غير دقيقة أو مبالغ فيها عن المرض النفسي، الأمر الذي ينعكس على اتجاهات الأفراد وسلوكهم</w:t>
      </w:r>
      <w:r>
        <w:rPr>
          <w:rFonts w:eastAsia="Times New Roman" w:asciiTheme="majorBidi" w:hAnsiTheme="majorBidi" w:cstheme="majorBidi"/>
          <w:kern w:val="0"/>
          <w14:ligatures w14:val="none"/>
        </w:rPr>
        <w:t>.</w:t>
      </w:r>
    </w:p>
    <w:p w14:paraId="0184917C">
      <w:pPr>
        <w:bidi/>
        <w:spacing w:before="100" w:beforeAutospacing="1" w:after="100" w:afterAutospacing="1" w:line="360" w:lineRule="auto"/>
        <w:ind w:firstLine="720"/>
        <w:jc w:val="lowKashida"/>
        <w:rPr>
          <w:rFonts w:eastAsia="Times New Roman" w:asciiTheme="majorBidi" w:hAnsiTheme="majorBidi" w:cstheme="majorBidi"/>
          <w:kern w:val="0"/>
          <w14:ligatures w14:val="none"/>
        </w:rPr>
      </w:pPr>
      <w:r>
        <w:rPr>
          <w:rFonts w:eastAsia="Times New Roman" w:asciiTheme="majorBidi" w:hAnsiTheme="majorBidi" w:cstheme="majorBidi"/>
          <w:kern w:val="0"/>
          <w:rtl/>
          <w14:ligatures w14:val="none"/>
        </w:rPr>
        <w:t>وترى الباحثة أن هذه النتيجة تعكس مشكلة مجتمعية مهمة تستدعي التدخل من خلال برامج توعوية وإرشادية تهدف إلى تصحيح المفاهيم الخاطئة حول المرض النفسي، وتعزيز ثقافة القبول والدمج الاجتماعي، مع التركيز على دور المؤسسات التعليمية والإعلامية في الحد من الوصمة، بما يسهم في تحسين الاتجاهات نحو المرض النفسي وتشجيع الأفراد على طلب المساعدة دون خوف أو تمييز</w:t>
      </w:r>
      <w:r>
        <w:rPr>
          <w:rFonts w:eastAsia="Times New Roman" w:asciiTheme="majorBidi" w:hAnsiTheme="majorBidi" w:cstheme="majorBidi"/>
          <w:kern w:val="0"/>
          <w14:ligatures w14:val="none"/>
        </w:rPr>
        <w:t>.</w:t>
      </w:r>
    </w:p>
    <w:p w14:paraId="13C9018C">
      <w:pPr>
        <w:bidi/>
        <w:spacing w:line="360" w:lineRule="auto"/>
        <w:rPr>
          <w:rFonts w:asciiTheme="majorBidi" w:hAnsiTheme="majorBidi" w:cstheme="majorBidi"/>
          <w:b/>
          <w:bCs/>
          <w:lang w:bidi="ar-JO"/>
        </w:rPr>
      </w:pPr>
      <w:bookmarkStart w:id="3" w:name="_Hlk208772986"/>
      <w:r>
        <w:rPr>
          <w:rFonts w:asciiTheme="majorBidi" w:hAnsiTheme="majorBidi" w:cstheme="majorBidi"/>
          <w:b/>
          <w:bCs/>
          <w:rtl/>
        </w:rPr>
        <w:t>النتائج المتعلقة بالسؤال الثاني:</w:t>
      </w:r>
      <w:r>
        <w:rPr>
          <w:rFonts w:asciiTheme="majorBidi" w:hAnsiTheme="majorBidi" w:cstheme="majorBidi"/>
          <w:b/>
          <w:bCs/>
          <w:rtl/>
          <w:lang w:bidi="ar-JO"/>
        </w:rPr>
        <w:t xml:space="preserve"> هل توجد فروق ذات دلالة إحصائية في مستوى محو الأمية في الصحة النفسية والوصمة </w:t>
      </w:r>
      <w:r>
        <w:rPr>
          <w:rFonts w:asciiTheme="majorBidi" w:hAnsiTheme="majorBidi" w:cstheme="majorBidi"/>
          <w:b/>
          <w:bCs/>
          <w:rtl/>
        </w:rPr>
        <w:t>الاجتماعية</w:t>
      </w:r>
      <w:r>
        <w:rPr>
          <w:rFonts w:asciiTheme="majorBidi" w:hAnsiTheme="majorBidi" w:cstheme="majorBidi"/>
          <w:rtl/>
        </w:rPr>
        <w:t xml:space="preserve"> </w:t>
      </w:r>
      <w:r>
        <w:rPr>
          <w:rFonts w:asciiTheme="majorBidi" w:hAnsiTheme="majorBidi" w:cstheme="majorBidi"/>
          <w:b/>
          <w:bCs/>
          <w:rtl/>
          <w:lang w:bidi="ar-JO"/>
        </w:rPr>
        <w:t>تجاه المرض النفسي تُعزى إلى متغيرات الجنس والمؤهل العلمي؟</w:t>
      </w:r>
    </w:p>
    <w:bookmarkEnd w:id="3"/>
    <w:p w14:paraId="214D1AD9">
      <w:pPr>
        <w:bidi/>
        <w:spacing w:before="100" w:beforeAutospacing="1" w:after="100" w:afterAutospacing="1" w:line="360" w:lineRule="auto"/>
        <w:jc w:val="lowKashida"/>
        <w:rPr>
          <w:rFonts w:asciiTheme="majorBidi" w:hAnsiTheme="majorBidi" w:cstheme="majorBidi"/>
          <w:rtl/>
        </w:rPr>
      </w:pPr>
      <w:r>
        <w:rPr>
          <w:rFonts w:asciiTheme="majorBidi" w:hAnsiTheme="majorBidi" w:cstheme="majorBidi"/>
          <w:rtl/>
        </w:rPr>
        <w:t>للإجابة عن هذا السؤال تم حساب المتوسطات الحسابية والانحرافات المعيارية</w:t>
      </w:r>
      <w:r>
        <w:rPr>
          <w:rFonts w:asciiTheme="majorBidi" w:hAnsiTheme="majorBidi" w:cstheme="majorBidi"/>
          <w:b/>
          <w:bCs/>
          <w:rtl/>
        </w:rPr>
        <w:t xml:space="preserve"> </w:t>
      </w:r>
      <w:r>
        <w:rPr>
          <w:rFonts w:asciiTheme="majorBidi" w:hAnsiTheme="majorBidi" w:cstheme="majorBidi"/>
          <w:rtl/>
        </w:rPr>
        <w:t>و اختبار (</w:t>
      </w:r>
      <w:r>
        <w:rPr>
          <w:rFonts w:asciiTheme="majorBidi" w:hAnsiTheme="majorBidi" w:cstheme="majorBidi"/>
        </w:rPr>
        <w:t>(T</w:t>
      </w:r>
      <w:r>
        <w:rPr>
          <w:rFonts w:asciiTheme="majorBidi" w:hAnsiTheme="majorBidi" w:cstheme="majorBidi"/>
          <w:rtl/>
        </w:rPr>
        <w:t xml:space="preserve"> </w:t>
      </w:r>
      <w:r>
        <w:rPr>
          <w:rFonts w:asciiTheme="majorBidi" w:hAnsiTheme="majorBidi" w:cstheme="majorBidi"/>
          <w:rtl/>
          <w:lang w:bidi="ar-BH"/>
        </w:rPr>
        <w:t>لل</w:t>
      </w:r>
      <w:r>
        <w:rPr>
          <w:rFonts w:asciiTheme="majorBidi" w:hAnsiTheme="majorBidi" w:cstheme="majorBidi"/>
          <w:rtl/>
        </w:rPr>
        <w:t>عينات المستقلة لمجالات الدراسة، تبعًا لمتغير الجنس</w:t>
      </w:r>
      <w:r>
        <w:rPr>
          <w:rFonts w:asciiTheme="majorBidi" w:hAnsiTheme="majorBidi" w:cstheme="majorBidi"/>
          <w:b/>
          <w:bCs/>
          <w:rtl/>
          <w:lang w:bidi="ar-JO"/>
        </w:rPr>
        <w:t xml:space="preserve"> </w:t>
      </w:r>
      <w:r>
        <w:rPr>
          <w:rFonts w:asciiTheme="majorBidi" w:hAnsiTheme="majorBidi" w:cstheme="majorBidi"/>
          <w:rtl/>
          <w:lang w:bidi="ar-JO"/>
        </w:rPr>
        <w:t>والمؤهل العلمي</w:t>
      </w:r>
    </w:p>
    <w:p w14:paraId="260BB925">
      <w:pPr>
        <w:bidi/>
        <w:spacing w:after="0" w:line="360" w:lineRule="auto"/>
        <w:jc w:val="center"/>
        <w:rPr>
          <w:rFonts w:asciiTheme="majorBidi" w:hAnsiTheme="majorBidi" w:cstheme="majorBidi"/>
          <w:b/>
          <w:bCs/>
          <w:sz w:val="20"/>
          <w:szCs w:val="20"/>
          <w:rtl/>
        </w:rPr>
      </w:pPr>
      <w:r>
        <w:rPr>
          <w:rFonts w:asciiTheme="majorBidi" w:hAnsiTheme="majorBidi" w:cstheme="majorBidi"/>
          <w:b/>
          <w:bCs/>
          <w:sz w:val="20"/>
          <w:szCs w:val="20"/>
          <w:rtl/>
        </w:rPr>
        <w:t>جدول (7) الأوساط الحسابية والانحرافات المعيارية و اختبار (</w:t>
      </w:r>
      <w:r>
        <w:rPr>
          <w:rFonts w:asciiTheme="majorBidi" w:hAnsiTheme="majorBidi" w:cstheme="majorBidi"/>
          <w:b/>
          <w:bCs/>
          <w:sz w:val="20"/>
          <w:szCs w:val="20"/>
        </w:rPr>
        <w:t>(T</w:t>
      </w:r>
      <w:r>
        <w:rPr>
          <w:rFonts w:asciiTheme="majorBidi" w:hAnsiTheme="majorBidi" w:cstheme="majorBidi"/>
          <w:b/>
          <w:bCs/>
          <w:sz w:val="20"/>
          <w:szCs w:val="20"/>
          <w:rtl/>
        </w:rPr>
        <w:t xml:space="preserve"> و </w:t>
      </w:r>
      <w:r>
        <w:rPr>
          <w:rFonts w:asciiTheme="majorBidi" w:hAnsiTheme="majorBidi" w:cstheme="majorBidi"/>
          <w:b/>
          <w:bCs/>
          <w:sz w:val="20"/>
          <w:szCs w:val="20"/>
        </w:rPr>
        <w:t>Anova</w:t>
      </w:r>
      <w:r>
        <w:rPr>
          <w:rFonts w:asciiTheme="majorBidi" w:hAnsiTheme="majorBidi" w:cstheme="majorBidi"/>
          <w:b/>
          <w:bCs/>
          <w:sz w:val="20"/>
          <w:szCs w:val="20"/>
          <w:rtl/>
        </w:rPr>
        <w:t xml:space="preserve"> لمجالات </w:t>
      </w:r>
      <w:r>
        <w:rPr>
          <w:rFonts w:asciiTheme="majorBidi" w:hAnsiTheme="majorBidi" w:cstheme="majorBidi"/>
          <w:b/>
          <w:bCs/>
          <w:sz w:val="20"/>
          <w:szCs w:val="20"/>
          <w:rtl/>
          <w:lang w:bidi="ar-JO"/>
        </w:rPr>
        <w:t xml:space="preserve">محو الأمية في الصحة النفسية والوصمة تجاه المرض النفسي </w:t>
      </w:r>
      <w:r>
        <w:rPr>
          <w:rFonts w:asciiTheme="majorBidi" w:hAnsiTheme="majorBidi" w:cstheme="majorBidi"/>
          <w:b/>
          <w:bCs/>
          <w:sz w:val="20"/>
          <w:szCs w:val="20"/>
          <w:rtl/>
        </w:rPr>
        <w:t>تبعًا لمتغير الجنس و</w:t>
      </w:r>
      <w:r>
        <w:rPr>
          <w:rFonts w:eastAsia="Times New Roman" w:asciiTheme="majorBidi" w:hAnsiTheme="majorBidi" w:cstheme="majorBidi"/>
          <w:b/>
          <w:bCs/>
          <w:kern w:val="0"/>
          <w:sz w:val="20"/>
          <w:szCs w:val="20"/>
          <w:rtl/>
          <w14:ligatures w14:val="none"/>
        </w:rPr>
        <w:t xml:space="preserve"> المؤهل العلمي</w:t>
      </w:r>
    </w:p>
    <w:tbl>
      <w:tblPr>
        <w:tblStyle w:val="18"/>
        <w:bidiVisual/>
        <w:tblW w:w="0" w:type="auto"/>
        <w:tblInd w:w="0" w:type="dxa"/>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649"/>
        <w:gridCol w:w="1105"/>
        <w:gridCol w:w="1214"/>
        <w:gridCol w:w="1560"/>
        <w:gridCol w:w="1512"/>
        <w:gridCol w:w="1181"/>
        <w:gridCol w:w="1276"/>
      </w:tblGrid>
      <w:tr w14:paraId="51672406">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Borders>
              <w:bottom w:val="single" w:color="7E7E7E" w:themeColor="text1" w:themeTint="80" w:sz="4" w:space="0"/>
              <w:insideH w:val="single" w:sz="4" w:space="0"/>
            </w:tcBorders>
          </w:tcPr>
          <w:p w14:paraId="2ACA90C4">
            <w:pPr>
              <w:spacing w:after="0" w:line="240" w:lineRule="auto"/>
              <w:jc w:val="right"/>
              <w:rPr>
                <w:rFonts w:eastAsia="Times New Roman" w:asciiTheme="majorBidi" w:hAnsiTheme="majorBidi" w:cstheme="majorBidi"/>
                <w:b/>
                <w:bCs/>
                <w:kern w:val="0"/>
                <w:sz w:val="20"/>
                <w:szCs w:val="20"/>
                <w:rtl/>
                <w14:ligatures w14:val="none"/>
              </w:rPr>
            </w:pPr>
            <w:r>
              <w:rPr>
                <w:rFonts w:eastAsia="Times New Roman" w:asciiTheme="majorBidi" w:hAnsiTheme="majorBidi" w:cstheme="majorBidi"/>
                <w:b/>
                <w:bCs/>
                <w:kern w:val="0"/>
                <w:sz w:val="20"/>
                <w:szCs w:val="20"/>
                <w:rtl/>
                <w14:ligatures w14:val="none"/>
              </w:rPr>
              <w:t>المتغير</w:t>
            </w:r>
          </w:p>
        </w:tc>
        <w:tc>
          <w:tcPr>
            <w:tcW w:w="0" w:type="auto"/>
            <w:tcBorders>
              <w:bottom w:val="single" w:color="7E7E7E" w:themeColor="text1" w:themeTint="80" w:sz="4" w:space="0"/>
              <w:insideH w:val="single" w:sz="4" w:space="0"/>
            </w:tcBorders>
          </w:tcPr>
          <w:p w14:paraId="38207E41">
            <w:pPr>
              <w:spacing w:after="0" w:line="240" w:lineRule="auto"/>
              <w:jc w:val="right"/>
              <w:rPr>
                <w:rFonts w:eastAsia="Times New Roman" w:asciiTheme="majorBidi" w:hAnsiTheme="majorBidi" w:cstheme="majorBidi"/>
                <w:b/>
                <w:bCs/>
                <w:kern w:val="0"/>
                <w:sz w:val="20"/>
                <w:szCs w:val="20"/>
                <w:rtl/>
                <w14:ligatures w14:val="none"/>
              </w:rPr>
            </w:pPr>
          </w:p>
        </w:tc>
        <w:tc>
          <w:tcPr>
            <w:tcW w:w="1214" w:type="dxa"/>
            <w:tcBorders>
              <w:bottom w:val="single" w:color="7E7E7E" w:themeColor="text1" w:themeTint="80" w:sz="4" w:space="0"/>
              <w:insideH w:val="single" w:sz="4" w:space="0"/>
            </w:tcBorders>
          </w:tcPr>
          <w:p w14:paraId="51984F4A">
            <w:pPr>
              <w:spacing w:after="0" w:line="240" w:lineRule="auto"/>
              <w:jc w:val="right"/>
              <w:rPr>
                <w:rFonts w:eastAsia="Times New Roman" w:asciiTheme="majorBidi" w:hAnsiTheme="majorBidi" w:cstheme="majorBidi"/>
                <w:b/>
                <w:bCs/>
                <w:kern w:val="0"/>
                <w:sz w:val="20"/>
                <w:szCs w:val="20"/>
                <w14:ligatures w14:val="none"/>
              </w:rPr>
            </w:pPr>
            <w:r>
              <w:rPr>
                <w:rFonts w:eastAsia="Times New Roman" w:asciiTheme="majorBidi" w:hAnsiTheme="majorBidi" w:cstheme="majorBidi"/>
                <w:b/>
                <w:bCs/>
                <w:kern w:val="0"/>
                <w:sz w:val="20"/>
                <w:szCs w:val="20"/>
                <w:rtl/>
                <w14:ligatures w14:val="none"/>
              </w:rPr>
              <w:t>المتغيرات</w:t>
            </w:r>
          </w:p>
        </w:tc>
        <w:tc>
          <w:tcPr>
            <w:tcW w:w="1560" w:type="dxa"/>
            <w:tcBorders>
              <w:bottom w:val="single" w:color="7E7E7E" w:themeColor="text1" w:themeTint="80" w:sz="4" w:space="0"/>
              <w:insideH w:val="single" w:sz="4" w:space="0"/>
            </w:tcBorders>
          </w:tcPr>
          <w:p w14:paraId="5B26B541">
            <w:pPr>
              <w:spacing w:after="0" w:line="240" w:lineRule="auto"/>
              <w:jc w:val="center"/>
              <w:rPr>
                <w:rFonts w:eastAsia="Times New Roman" w:asciiTheme="majorBidi" w:hAnsiTheme="majorBidi" w:cstheme="majorBidi"/>
                <w:b/>
                <w:bCs/>
                <w:kern w:val="0"/>
                <w:sz w:val="20"/>
                <w:szCs w:val="20"/>
                <w14:ligatures w14:val="none"/>
              </w:rPr>
            </w:pPr>
            <w:r>
              <w:rPr>
                <w:rFonts w:eastAsia="Times New Roman" w:asciiTheme="majorBidi" w:hAnsiTheme="majorBidi" w:cstheme="majorBidi"/>
                <w:b/>
                <w:bCs/>
                <w:kern w:val="0"/>
                <w:sz w:val="20"/>
                <w:szCs w:val="20"/>
                <w:rtl/>
                <w14:ligatures w14:val="none"/>
              </w:rPr>
              <w:t>المتوسط الحسابي</w:t>
            </w:r>
            <w:r>
              <w:rPr>
                <w:rFonts w:eastAsia="Times New Roman" w:asciiTheme="majorBidi" w:hAnsiTheme="majorBidi" w:cstheme="majorBidi"/>
                <w:b/>
                <w:bCs/>
                <w:kern w:val="0"/>
                <w:sz w:val="20"/>
                <w:szCs w:val="20"/>
                <w14:ligatures w14:val="none"/>
              </w:rPr>
              <w:t xml:space="preserve"> (M)</w:t>
            </w:r>
          </w:p>
        </w:tc>
        <w:tc>
          <w:tcPr>
            <w:tcW w:w="1512" w:type="dxa"/>
            <w:tcBorders>
              <w:bottom w:val="single" w:color="7E7E7E" w:themeColor="text1" w:themeTint="80" w:sz="4" w:space="0"/>
              <w:insideH w:val="single" w:sz="4" w:space="0"/>
            </w:tcBorders>
          </w:tcPr>
          <w:p w14:paraId="7704639D">
            <w:pPr>
              <w:spacing w:after="0" w:line="240" w:lineRule="auto"/>
              <w:jc w:val="center"/>
              <w:rPr>
                <w:rFonts w:eastAsia="Times New Roman" w:asciiTheme="majorBidi" w:hAnsiTheme="majorBidi" w:cstheme="majorBidi"/>
                <w:b/>
                <w:bCs/>
                <w:kern w:val="0"/>
                <w:sz w:val="20"/>
                <w:szCs w:val="20"/>
                <w14:ligatures w14:val="none"/>
              </w:rPr>
            </w:pPr>
            <w:r>
              <w:rPr>
                <w:rFonts w:eastAsia="Times New Roman" w:asciiTheme="majorBidi" w:hAnsiTheme="majorBidi" w:cstheme="majorBidi"/>
                <w:b/>
                <w:bCs/>
                <w:kern w:val="0"/>
                <w:sz w:val="20"/>
                <w:szCs w:val="20"/>
                <w:rtl/>
                <w14:ligatures w14:val="none"/>
              </w:rPr>
              <w:t>الانحراف المعياري</w:t>
            </w:r>
            <w:r>
              <w:rPr>
                <w:rFonts w:eastAsia="Times New Roman" w:asciiTheme="majorBidi" w:hAnsiTheme="majorBidi" w:cstheme="majorBidi"/>
                <w:b/>
                <w:bCs/>
                <w:kern w:val="0"/>
                <w:sz w:val="20"/>
                <w:szCs w:val="20"/>
                <w14:ligatures w14:val="none"/>
              </w:rPr>
              <w:t xml:space="preserve"> (SD)</w:t>
            </w:r>
          </w:p>
        </w:tc>
        <w:tc>
          <w:tcPr>
            <w:tcW w:w="1181" w:type="dxa"/>
            <w:tcBorders>
              <w:bottom w:val="single" w:color="7E7E7E" w:themeColor="text1" w:themeTint="80" w:sz="4" w:space="0"/>
              <w:insideH w:val="single" w:sz="4" w:space="0"/>
            </w:tcBorders>
          </w:tcPr>
          <w:p w14:paraId="7E6E788A">
            <w:pPr>
              <w:spacing w:after="0" w:line="240" w:lineRule="auto"/>
              <w:jc w:val="center"/>
              <w:rPr>
                <w:rFonts w:asciiTheme="majorBidi" w:hAnsiTheme="majorBidi" w:cstheme="majorBidi"/>
                <w:b/>
                <w:bCs/>
                <w:sz w:val="20"/>
                <w:szCs w:val="20"/>
              </w:rPr>
            </w:pPr>
            <w:r>
              <w:rPr>
                <w:rFonts w:asciiTheme="majorBidi" w:hAnsiTheme="majorBidi" w:cstheme="majorBidi"/>
                <w:b/>
                <w:bCs/>
                <w:sz w:val="20"/>
                <w:szCs w:val="20"/>
              </w:rPr>
              <w:t>T/F</w:t>
            </w:r>
          </w:p>
        </w:tc>
        <w:tc>
          <w:tcPr>
            <w:tcW w:w="1276" w:type="dxa"/>
            <w:tcBorders>
              <w:bottom w:val="single" w:color="7E7E7E" w:themeColor="text1" w:themeTint="80" w:sz="4" w:space="0"/>
              <w:insideH w:val="single" w:sz="4" w:space="0"/>
            </w:tcBorders>
          </w:tcPr>
          <w:p w14:paraId="6F1345BC">
            <w:pPr>
              <w:spacing w:after="0" w:line="240" w:lineRule="auto"/>
              <w:jc w:val="center"/>
              <w:rPr>
                <w:rFonts w:eastAsia="Times New Roman" w:asciiTheme="majorBidi" w:hAnsiTheme="majorBidi" w:cstheme="majorBidi"/>
                <w:b/>
                <w:bCs/>
                <w:kern w:val="0"/>
                <w:sz w:val="20"/>
                <w:szCs w:val="20"/>
                <w14:ligatures w14:val="none"/>
              </w:rPr>
            </w:pPr>
            <w:r>
              <w:rPr>
                <w:rFonts w:eastAsia="Times New Roman" w:asciiTheme="majorBidi" w:hAnsiTheme="majorBidi" w:cstheme="majorBidi"/>
                <w:b/>
                <w:bCs/>
                <w:kern w:val="0"/>
                <w:sz w:val="20"/>
                <w:szCs w:val="20"/>
                <w:rtl/>
                <w14:ligatures w14:val="none"/>
              </w:rPr>
              <w:t>القيمة الاحصائية</w:t>
            </w:r>
            <w:r>
              <w:rPr>
                <w:rFonts w:eastAsia="Times New Roman" w:asciiTheme="majorBidi" w:hAnsiTheme="majorBidi" w:cstheme="majorBidi"/>
                <w:b/>
                <w:bCs/>
                <w:kern w:val="0"/>
                <w:sz w:val="20"/>
                <w:szCs w:val="20"/>
                <w14:ligatures w14:val="none"/>
              </w:rPr>
              <w:t xml:space="preserve"> (p)</w:t>
            </w:r>
          </w:p>
        </w:tc>
      </w:tr>
      <w:tr w14:paraId="6D2AB44F">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0" w:type="auto"/>
            <w:vMerge w:val="restart"/>
            <w:tcBorders>
              <w:top w:val="single" w:color="7E7E7E" w:themeColor="text1" w:themeTint="80" w:sz="4" w:space="0"/>
              <w:bottom w:val="single" w:color="7E7E7E" w:themeColor="text1" w:themeTint="80" w:sz="4" w:space="0"/>
              <w:insideH w:val="single" w:sz="4" w:space="0"/>
            </w:tcBorders>
          </w:tcPr>
          <w:p w14:paraId="7CDDD537">
            <w:pPr>
              <w:bidi/>
              <w:spacing w:after="0" w:line="240" w:lineRule="auto"/>
              <w:rPr>
                <w:rFonts w:eastAsia="Times New Roman" w:asciiTheme="majorBidi" w:hAnsiTheme="majorBidi" w:cstheme="majorBidi"/>
                <w:b w:val="0"/>
                <w:bCs w:val="0"/>
                <w:kern w:val="0"/>
                <w:sz w:val="20"/>
                <w:szCs w:val="20"/>
                <w14:ligatures w14:val="none"/>
              </w:rPr>
            </w:pPr>
          </w:p>
          <w:p w14:paraId="6549936B">
            <w:pPr>
              <w:bidi/>
              <w:spacing w:after="0" w:line="240" w:lineRule="auto"/>
              <w:rPr>
                <w:rFonts w:eastAsia="Times New Roman" w:asciiTheme="majorBidi" w:hAnsiTheme="majorBidi" w:cstheme="majorBidi"/>
                <w:b w:val="0"/>
                <w:bCs w:val="0"/>
                <w:kern w:val="0"/>
                <w:sz w:val="20"/>
                <w:szCs w:val="20"/>
                <w14:ligatures w14:val="none"/>
              </w:rPr>
            </w:pPr>
            <w:r>
              <w:rPr>
                <w:rFonts w:eastAsia="Times New Roman" w:asciiTheme="majorBidi" w:hAnsiTheme="majorBidi" w:cstheme="majorBidi"/>
                <w:b w:val="0"/>
                <w:bCs w:val="0"/>
                <w:kern w:val="0"/>
                <w:sz w:val="20"/>
                <w:szCs w:val="20"/>
                <w:rtl/>
                <w14:ligatures w14:val="none"/>
              </w:rPr>
              <w:t>الوعي بالمرض النفسي</w:t>
            </w:r>
          </w:p>
          <w:p w14:paraId="52A95433">
            <w:pPr>
              <w:bidi/>
              <w:spacing w:after="0" w:line="240" w:lineRule="auto"/>
              <w:rPr>
                <w:rFonts w:eastAsia="Times New Roman" w:asciiTheme="majorBidi" w:hAnsiTheme="majorBidi" w:cstheme="majorBidi"/>
                <w:b w:val="0"/>
                <w:bCs w:val="0"/>
                <w:kern w:val="0"/>
                <w:sz w:val="20"/>
                <w:szCs w:val="20"/>
                <w14:ligatures w14:val="none"/>
              </w:rPr>
            </w:pPr>
            <w:r>
              <w:rPr>
                <w:rFonts w:eastAsia="Times New Roman" w:asciiTheme="majorBidi" w:hAnsiTheme="majorBidi" w:cstheme="majorBidi"/>
                <w:b w:val="0"/>
                <w:bCs w:val="0"/>
                <w:kern w:val="0"/>
                <w:sz w:val="20"/>
                <w:szCs w:val="20"/>
                <w14:ligatures w14:val="none"/>
              </w:rPr>
              <w:t xml:space="preserve"> </w:t>
            </w:r>
          </w:p>
        </w:tc>
        <w:tc>
          <w:tcPr>
            <w:tcW w:w="0" w:type="auto"/>
            <w:vMerge w:val="restart"/>
            <w:tcBorders>
              <w:top w:val="single" w:color="7E7E7E" w:themeColor="text1" w:themeTint="80" w:sz="4" w:space="0"/>
              <w:bottom w:val="single" w:color="7E7E7E" w:themeColor="text1" w:themeTint="80" w:sz="4" w:space="0"/>
              <w:insideH w:val="single" w:sz="4" w:space="0"/>
            </w:tcBorders>
          </w:tcPr>
          <w:p w14:paraId="45100AAF">
            <w:pPr>
              <w:bidi/>
              <w:spacing w:after="0" w:line="240" w:lineRule="auto"/>
              <w:rPr>
                <w:rFonts w:eastAsia="Times New Roman" w:asciiTheme="majorBidi" w:hAnsiTheme="majorBidi" w:cstheme="majorBidi"/>
                <w:kern w:val="0"/>
                <w:sz w:val="20"/>
                <w:szCs w:val="20"/>
                <w:rtl/>
                <w14:ligatures w14:val="none"/>
              </w:rPr>
            </w:pPr>
            <w:r>
              <w:rPr>
                <w:rFonts w:eastAsia="Times New Roman" w:asciiTheme="majorBidi" w:hAnsiTheme="majorBidi" w:cstheme="majorBidi"/>
                <w:kern w:val="0"/>
                <w:sz w:val="20"/>
                <w:szCs w:val="20"/>
                <w:rtl/>
                <w14:ligatures w14:val="none"/>
              </w:rPr>
              <w:t>الجنس</w:t>
            </w:r>
          </w:p>
        </w:tc>
        <w:tc>
          <w:tcPr>
            <w:tcW w:w="1214" w:type="dxa"/>
            <w:tcBorders>
              <w:top w:val="single" w:color="7E7E7E" w:themeColor="text1" w:themeTint="80" w:sz="4" w:space="0"/>
              <w:bottom w:val="single" w:color="7E7E7E" w:themeColor="text1" w:themeTint="80" w:sz="4" w:space="0"/>
              <w:insideH w:val="single" w:sz="4" w:space="0"/>
            </w:tcBorders>
          </w:tcPr>
          <w:p w14:paraId="1376B378">
            <w:pPr>
              <w:bidi/>
              <w:spacing w:after="0" w:line="240" w:lineRule="auto"/>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rtl/>
                <w14:ligatures w14:val="none"/>
              </w:rPr>
              <w:t xml:space="preserve">ذكر </w:t>
            </w:r>
          </w:p>
        </w:tc>
        <w:tc>
          <w:tcPr>
            <w:tcW w:w="1560" w:type="dxa"/>
            <w:tcBorders>
              <w:top w:val="single" w:color="7E7E7E" w:themeColor="text1" w:themeTint="80" w:sz="4" w:space="0"/>
              <w:bottom w:val="single" w:color="7E7E7E" w:themeColor="text1" w:themeTint="80" w:sz="4" w:space="0"/>
              <w:insideH w:val="single" w:sz="4" w:space="0"/>
            </w:tcBorders>
          </w:tcPr>
          <w:p w14:paraId="4BCFB88B">
            <w:pPr>
              <w:spacing w:after="0" w:line="240" w:lineRule="auto"/>
              <w:jc w:val="center"/>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rtl/>
                <w14:ligatures w14:val="none"/>
              </w:rPr>
              <w:t>2.12</w:t>
            </w:r>
          </w:p>
        </w:tc>
        <w:tc>
          <w:tcPr>
            <w:tcW w:w="1512" w:type="dxa"/>
            <w:tcBorders>
              <w:top w:val="single" w:color="7E7E7E" w:themeColor="text1" w:themeTint="80" w:sz="4" w:space="0"/>
              <w:bottom w:val="single" w:color="7E7E7E" w:themeColor="text1" w:themeTint="80" w:sz="4" w:space="0"/>
              <w:insideH w:val="single" w:sz="4" w:space="0"/>
            </w:tcBorders>
          </w:tcPr>
          <w:p w14:paraId="7AE77DF1">
            <w:pPr>
              <w:spacing w:after="0" w:line="240" w:lineRule="auto"/>
              <w:jc w:val="center"/>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rtl/>
                <w14:ligatures w14:val="none"/>
              </w:rPr>
              <w:t>0.28</w:t>
            </w:r>
          </w:p>
        </w:tc>
        <w:tc>
          <w:tcPr>
            <w:tcW w:w="1181" w:type="dxa"/>
            <w:vMerge w:val="restart"/>
            <w:tcBorders>
              <w:top w:val="single" w:color="7E7E7E" w:themeColor="text1" w:themeTint="80" w:sz="4" w:space="0"/>
              <w:bottom w:val="single" w:color="7E7E7E" w:themeColor="text1" w:themeTint="80" w:sz="4" w:space="0"/>
              <w:insideH w:val="single" w:sz="4" w:space="0"/>
            </w:tcBorders>
          </w:tcPr>
          <w:p w14:paraId="1DD77167">
            <w:pPr>
              <w:spacing w:after="0" w:line="240" w:lineRule="auto"/>
              <w:jc w:val="center"/>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rtl/>
                <w14:ligatures w14:val="none"/>
              </w:rPr>
              <w:t>-0.094</w:t>
            </w:r>
          </w:p>
        </w:tc>
        <w:tc>
          <w:tcPr>
            <w:tcW w:w="1276" w:type="dxa"/>
            <w:vMerge w:val="restart"/>
            <w:tcBorders>
              <w:top w:val="single" w:color="7E7E7E" w:themeColor="text1" w:themeTint="80" w:sz="4" w:space="0"/>
              <w:bottom w:val="single" w:color="7E7E7E" w:themeColor="text1" w:themeTint="80" w:sz="4" w:space="0"/>
              <w:insideH w:val="single" w:sz="4" w:space="0"/>
            </w:tcBorders>
          </w:tcPr>
          <w:p w14:paraId="6D2630CA">
            <w:pPr>
              <w:spacing w:after="0" w:line="240" w:lineRule="auto"/>
              <w:jc w:val="center"/>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rtl/>
                <w14:ligatures w14:val="none"/>
              </w:rPr>
              <w:t>0.925</w:t>
            </w:r>
          </w:p>
        </w:tc>
      </w:tr>
      <w:tr w14:paraId="5F059B4F">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0" w:type="auto"/>
            <w:vMerge w:val="continue"/>
          </w:tcPr>
          <w:p w14:paraId="1A542F84">
            <w:pPr>
              <w:bidi/>
              <w:spacing w:after="0" w:line="240" w:lineRule="auto"/>
              <w:rPr>
                <w:rFonts w:eastAsia="Times New Roman" w:asciiTheme="majorBidi" w:hAnsiTheme="majorBidi" w:cstheme="majorBidi"/>
                <w:b w:val="0"/>
                <w:bCs w:val="0"/>
                <w:kern w:val="0"/>
                <w:sz w:val="20"/>
                <w:szCs w:val="20"/>
                <w:rtl/>
                <w14:ligatures w14:val="none"/>
              </w:rPr>
            </w:pPr>
          </w:p>
        </w:tc>
        <w:tc>
          <w:tcPr>
            <w:tcW w:w="0" w:type="auto"/>
            <w:vMerge w:val="continue"/>
          </w:tcPr>
          <w:p w14:paraId="2AAF9553">
            <w:pPr>
              <w:bidi/>
              <w:spacing w:after="0" w:line="240" w:lineRule="auto"/>
              <w:rPr>
                <w:rFonts w:eastAsia="Times New Roman" w:asciiTheme="majorBidi" w:hAnsiTheme="majorBidi" w:cstheme="majorBidi"/>
                <w:kern w:val="0"/>
                <w:sz w:val="20"/>
                <w:szCs w:val="20"/>
                <w:rtl/>
                <w14:ligatures w14:val="none"/>
              </w:rPr>
            </w:pPr>
          </w:p>
        </w:tc>
        <w:tc>
          <w:tcPr>
            <w:tcW w:w="1214" w:type="dxa"/>
          </w:tcPr>
          <w:p w14:paraId="2D0057BC">
            <w:pPr>
              <w:bidi/>
              <w:spacing w:after="0" w:line="240" w:lineRule="auto"/>
              <w:rPr>
                <w:rFonts w:eastAsia="Times New Roman" w:asciiTheme="majorBidi" w:hAnsiTheme="majorBidi" w:cstheme="majorBidi"/>
                <w:kern w:val="0"/>
                <w:sz w:val="20"/>
                <w:szCs w:val="20"/>
                <w:rtl/>
                <w14:ligatures w14:val="none"/>
              </w:rPr>
            </w:pPr>
            <w:r>
              <w:rPr>
                <w:rFonts w:eastAsia="Times New Roman" w:asciiTheme="majorBidi" w:hAnsiTheme="majorBidi" w:cstheme="majorBidi"/>
                <w:kern w:val="0"/>
                <w:sz w:val="20"/>
                <w:szCs w:val="20"/>
                <w:rtl/>
                <w14:ligatures w14:val="none"/>
              </w:rPr>
              <w:t>أنثى</w:t>
            </w:r>
          </w:p>
        </w:tc>
        <w:tc>
          <w:tcPr>
            <w:tcW w:w="1560" w:type="dxa"/>
          </w:tcPr>
          <w:p w14:paraId="0132A530">
            <w:pPr>
              <w:spacing w:after="0" w:line="240" w:lineRule="auto"/>
              <w:jc w:val="center"/>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rtl/>
                <w14:ligatures w14:val="none"/>
              </w:rPr>
              <w:t>2.13</w:t>
            </w:r>
          </w:p>
        </w:tc>
        <w:tc>
          <w:tcPr>
            <w:tcW w:w="1512" w:type="dxa"/>
          </w:tcPr>
          <w:p w14:paraId="0EF7C668">
            <w:pPr>
              <w:spacing w:after="0" w:line="240" w:lineRule="auto"/>
              <w:jc w:val="center"/>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rtl/>
                <w14:ligatures w14:val="none"/>
              </w:rPr>
              <w:t>0.33</w:t>
            </w:r>
          </w:p>
        </w:tc>
        <w:tc>
          <w:tcPr>
            <w:tcW w:w="1181" w:type="dxa"/>
            <w:vMerge w:val="continue"/>
          </w:tcPr>
          <w:p w14:paraId="52833E73">
            <w:pPr>
              <w:spacing w:after="0" w:line="240" w:lineRule="auto"/>
              <w:jc w:val="center"/>
              <w:rPr>
                <w:rFonts w:eastAsia="Times New Roman" w:asciiTheme="majorBidi" w:hAnsiTheme="majorBidi" w:cstheme="majorBidi"/>
                <w:kern w:val="0"/>
                <w:sz w:val="20"/>
                <w:szCs w:val="20"/>
                <w14:ligatures w14:val="none"/>
              </w:rPr>
            </w:pPr>
          </w:p>
        </w:tc>
        <w:tc>
          <w:tcPr>
            <w:tcW w:w="1276" w:type="dxa"/>
            <w:vMerge w:val="continue"/>
          </w:tcPr>
          <w:p w14:paraId="0FFFAFBD">
            <w:pPr>
              <w:spacing w:after="0" w:line="240" w:lineRule="auto"/>
              <w:jc w:val="center"/>
              <w:rPr>
                <w:rFonts w:eastAsia="Times New Roman" w:asciiTheme="majorBidi" w:hAnsiTheme="majorBidi" w:cstheme="majorBidi"/>
                <w:kern w:val="0"/>
                <w:sz w:val="20"/>
                <w:szCs w:val="20"/>
                <w14:ligatures w14:val="none"/>
              </w:rPr>
            </w:pPr>
          </w:p>
        </w:tc>
      </w:tr>
      <w:tr w14:paraId="2FE1F85B">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0" w:type="auto"/>
            <w:vMerge w:val="continue"/>
            <w:tcBorders>
              <w:top w:val="single" w:color="7E7E7E" w:themeColor="text1" w:themeTint="80" w:sz="4" w:space="0"/>
              <w:bottom w:val="single" w:color="7E7E7E" w:themeColor="text1" w:themeTint="80" w:sz="4" w:space="0"/>
              <w:insideH w:val="single" w:sz="4" w:space="0"/>
            </w:tcBorders>
          </w:tcPr>
          <w:p w14:paraId="752401A2">
            <w:pPr>
              <w:bidi/>
              <w:spacing w:after="0" w:line="240" w:lineRule="auto"/>
              <w:rPr>
                <w:rFonts w:eastAsia="Times New Roman" w:asciiTheme="majorBidi" w:hAnsiTheme="majorBidi" w:cstheme="majorBidi"/>
                <w:b/>
                <w:bCs/>
                <w:kern w:val="0"/>
                <w:sz w:val="20"/>
                <w:szCs w:val="20"/>
                <w:rtl/>
                <w14:ligatures w14:val="none"/>
              </w:rPr>
            </w:pPr>
          </w:p>
        </w:tc>
        <w:tc>
          <w:tcPr>
            <w:tcW w:w="0" w:type="auto"/>
            <w:vMerge w:val="restart"/>
            <w:tcBorders>
              <w:top w:val="single" w:color="7E7E7E" w:themeColor="text1" w:themeTint="80" w:sz="4" w:space="0"/>
              <w:bottom w:val="single" w:color="7E7E7E" w:themeColor="text1" w:themeTint="80" w:sz="4" w:space="0"/>
              <w:insideH w:val="single" w:sz="4" w:space="0"/>
            </w:tcBorders>
          </w:tcPr>
          <w:p w14:paraId="015F9F30">
            <w:pPr>
              <w:bidi/>
              <w:spacing w:after="0" w:line="240" w:lineRule="auto"/>
              <w:rPr>
                <w:rFonts w:eastAsia="Times New Roman" w:asciiTheme="majorBidi" w:hAnsiTheme="majorBidi" w:cstheme="majorBidi"/>
                <w:kern w:val="0"/>
                <w:sz w:val="20"/>
                <w:szCs w:val="20"/>
                <w:rtl/>
                <w14:ligatures w14:val="none"/>
              </w:rPr>
            </w:pPr>
            <w:r>
              <w:rPr>
                <w:rFonts w:eastAsia="Times New Roman" w:asciiTheme="majorBidi" w:hAnsiTheme="majorBidi" w:cstheme="majorBidi"/>
                <w:kern w:val="0"/>
                <w:sz w:val="20"/>
                <w:szCs w:val="20"/>
                <w:rtl/>
                <w14:ligatures w14:val="none"/>
              </w:rPr>
              <w:t>المؤهل العلمي</w:t>
            </w:r>
          </w:p>
        </w:tc>
        <w:tc>
          <w:tcPr>
            <w:tcW w:w="1214" w:type="dxa"/>
            <w:tcBorders>
              <w:top w:val="single" w:color="7E7E7E" w:themeColor="text1" w:themeTint="80" w:sz="4" w:space="0"/>
              <w:bottom w:val="single" w:color="7E7E7E" w:themeColor="text1" w:themeTint="80" w:sz="4" w:space="0"/>
              <w:insideH w:val="single" w:sz="4" w:space="0"/>
            </w:tcBorders>
          </w:tcPr>
          <w:p w14:paraId="4C6AA750">
            <w:pPr>
              <w:bidi/>
              <w:spacing w:after="0" w:line="240" w:lineRule="auto"/>
              <w:rPr>
                <w:rFonts w:eastAsia="Times New Roman" w:asciiTheme="majorBidi" w:hAnsiTheme="majorBidi" w:cstheme="majorBidi"/>
                <w:sz w:val="20"/>
                <w:szCs w:val="20"/>
                <w:rtl/>
              </w:rPr>
            </w:pPr>
            <w:r>
              <w:rPr>
                <w:rFonts w:asciiTheme="majorBidi" w:hAnsiTheme="majorBidi" w:cstheme="majorBidi"/>
                <w:sz w:val="20"/>
                <w:szCs w:val="20"/>
                <w:rtl/>
              </w:rPr>
              <w:t>تانوي أو أقل</w:t>
            </w:r>
          </w:p>
        </w:tc>
        <w:tc>
          <w:tcPr>
            <w:tcW w:w="1560" w:type="dxa"/>
            <w:tcBorders>
              <w:top w:val="single" w:color="7E7E7E" w:themeColor="text1" w:themeTint="80" w:sz="4" w:space="0"/>
              <w:bottom w:val="single" w:color="7E7E7E" w:themeColor="text1" w:themeTint="80" w:sz="4" w:space="0"/>
              <w:insideH w:val="single" w:sz="4" w:space="0"/>
            </w:tcBorders>
          </w:tcPr>
          <w:p w14:paraId="32A18EB7">
            <w:pPr>
              <w:spacing w:after="0" w:line="240" w:lineRule="auto"/>
              <w:jc w:val="center"/>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rtl/>
                <w14:ligatures w14:val="none"/>
              </w:rPr>
              <w:t>2.01</w:t>
            </w:r>
          </w:p>
        </w:tc>
        <w:tc>
          <w:tcPr>
            <w:tcW w:w="1512" w:type="dxa"/>
            <w:tcBorders>
              <w:top w:val="single" w:color="7E7E7E" w:themeColor="text1" w:themeTint="80" w:sz="4" w:space="0"/>
              <w:bottom w:val="single" w:color="7E7E7E" w:themeColor="text1" w:themeTint="80" w:sz="4" w:space="0"/>
              <w:insideH w:val="single" w:sz="4" w:space="0"/>
            </w:tcBorders>
          </w:tcPr>
          <w:p w14:paraId="7AECE1F0">
            <w:pPr>
              <w:spacing w:after="0" w:line="240" w:lineRule="auto"/>
              <w:jc w:val="center"/>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rtl/>
                <w14:ligatures w14:val="none"/>
              </w:rPr>
              <w:t>0.31</w:t>
            </w:r>
          </w:p>
        </w:tc>
        <w:tc>
          <w:tcPr>
            <w:tcW w:w="1181" w:type="dxa"/>
            <w:vMerge w:val="restart"/>
            <w:tcBorders>
              <w:top w:val="single" w:color="7E7E7E" w:themeColor="text1" w:themeTint="80" w:sz="4" w:space="0"/>
              <w:bottom w:val="single" w:color="7E7E7E" w:themeColor="text1" w:themeTint="80" w:sz="4" w:space="0"/>
              <w:insideH w:val="single" w:sz="4" w:space="0"/>
            </w:tcBorders>
          </w:tcPr>
          <w:p w14:paraId="6CA49DC2">
            <w:pPr>
              <w:spacing w:after="0" w:line="240" w:lineRule="auto"/>
              <w:jc w:val="center"/>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rtl/>
                <w14:ligatures w14:val="none"/>
              </w:rPr>
              <w:t>8.119</w:t>
            </w:r>
          </w:p>
        </w:tc>
        <w:tc>
          <w:tcPr>
            <w:tcW w:w="1276" w:type="dxa"/>
            <w:vMerge w:val="restart"/>
            <w:tcBorders>
              <w:top w:val="single" w:color="7E7E7E" w:themeColor="text1" w:themeTint="80" w:sz="4" w:space="0"/>
              <w:bottom w:val="single" w:color="7E7E7E" w:themeColor="text1" w:themeTint="80" w:sz="4" w:space="0"/>
              <w:insideH w:val="single" w:sz="4" w:space="0"/>
            </w:tcBorders>
          </w:tcPr>
          <w:p w14:paraId="02451923">
            <w:pPr>
              <w:spacing w:after="0" w:line="240" w:lineRule="auto"/>
              <w:jc w:val="center"/>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rtl/>
                <w14:ligatures w14:val="none"/>
              </w:rPr>
              <w:t>0.000</w:t>
            </w:r>
          </w:p>
        </w:tc>
      </w:tr>
      <w:tr w14:paraId="725A156D">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0" w:type="auto"/>
            <w:vMerge w:val="continue"/>
          </w:tcPr>
          <w:p w14:paraId="0B018E16">
            <w:pPr>
              <w:bidi/>
              <w:spacing w:after="0" w:line="240" w:lineRule="auto"/>
              <w:rPr>
                <w:rFonts w:eastAsia="Times New Roman" w:asciiTheme="majorBidi" w:hAnsiTheme="majorBidi" w:cstheme="majorBidi"/>
                <w:b/>
                <w:bCs/>
                <w:kern w:val="0"/>
                <w:sz w:val="20"/>
                <w:szCs w:val="20"/>
                <w:rtl/>
                <w14:ligatures w14:val="none"/>
              </w:rPr>
            </w:pPr>
          </w:p>
        </w:tc>
        <w:tc>
          <w:tcPr>
            <w:tcW w:w="0" w:type="auto"/>
            <w:vMerge w:val="continue"/>
          </w:tcPr>
          <w:p w14:paraId="55B48FFF">
            <w:pPr>
              <w:bidi/>
              <w:spacing w:after="0" w:line="240" w:lineRule="auto"/>
              <w:rPr>
                <w:rFonts w:eastAsia="Times New Roman" w:asciiTheme="majorBidi" w:hAnsiTheme="majorBidi" w:cstheme="majorBidi"/>
                <w:kern w:val="0"/>
                <w:sz w:val="20"/>
                <w:szCs w:val="20"/>
                <w:rtl/>
                <w14:ligatures w14:val="none"/>
              </w:rPr>
            </w:pPr>
          </w:p>
        </w:tc>
        <w:tc>
          <w:tcPr>
            <w:tcW w:w="1214" w:type="dxa"/>
          </w:tcPr>
          <w:p w14:paraId="0B0517B6">
            <w:pPr>
              <w:bidi/>
              <w:spacing w:after="0" w:line="240" w:lineRule="auto"/>
              <w:rPr>
                <w:rFonts w:eastAsia="Times New Roman" w:asciiTheme="majorBidi" w:hAnsiTheme="majorBidi" w:cstheme="majorBidi"/>
                <w:sz w:val="20"/>
                <w:szCs w:val="20"/>
                <w:rtl/>
              </w:rPr>
            </w:pPr>
            <w:r>
              <w:rPr>
                <w:rFonts w:asciiTheme="majorBidi" w:hAnsiTheme="majorBidi" w:cstheme="majorBidi"/>
                <w:sz w:val="20"/>
                <w:szCs w:val="20"/>
                <w:rtl/>
              </w:rPr>
              <w:t>دبلوم</w:t>
            </w:r>
          </w:p>
        </w:tc>
        <w:tc>
          <w:tcPr>
            <w:tcW w:w="1560" w:type="dxa"/>
          </w:tcPr>
          <w:p w14:paraId="5D6B4E13">
            <w:pPr>
              <w:spacing w:after="0" w:line="240" w:lineRule="auto"/>
              <w:jc w:val="center"/>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rtl/>
                <w14:ligatures w14:val="none"/>
              </w:rPr>
              <w:t>2.16</w:t>
            </w:r>
          </w:p>
        </w:tc>
        <w:tc>
          <w:tcPr>
            <w:tcW w:w="1512" w:type="dxa"/>
          </w:tcPr>
          <w:p w14:paraId="789F0824">
            <w:pPr>
              <w:spacing w:after="0" w:line="240" w:lineRule="auto"/>
              <w:jc w:val="center"/>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rtl/>
                <w14:ligatures w14:val="none"/>
              </w:rPr>
              <w:t>0.28</w:t>
            </w:r>
          </w:p>
        </w:tc>
        <w:tc>
          <w:tcPr>
            <w:tcW w:w="1181" w:type="dxa"/>
            <w:vMerge w:val="continue"/>
          </w:tcPr>
          <w:p w14:paraId="080833BC">
            <w:pPr>
              <w:spacing w:after="0" w:line="240" w:lineRule="auto"/>
              <w:jc w:val="center"/>
              <w:rPr>
                <w:rFonts w:eastAsia="Times New Roman" w:asciiTheme="majorBidi" w:hAnsiTheme="majorBidi" w:cstheme="majorBidi"/>
                <w:kern w:val="0"/>
                <w:sz w:val="20"/>
                <w:szCs w:val="20"/>
                <w14:ligatures w14:val="none"/>
              </w:rPr>
            </w:pPr>
          </w:p>
        </w:tc>
        <w:tc>
          <w:tcPr>
            <w:tcW w:w="1276" w:type="dxa"/>
            <w:vMerge w:val="continue"/>
          </w:tcPr>
          <w:p w14:paraId="3DB56114">
            <w:pPr>
              <w:spacing w:after="0" w:line="240" w:lineRule="auto"/>
              <w:jc w:val="center"/>
              <w:rPr>
                <w:rFonts w:eastAsia="Times New Roman" w:asciiTheme="majorBidi" w:hAnsiTheme="majorBidi" w:cstheme="majorBidi"/>
                <w:kern w:val="0"/>
                <w:sz w:val="20"/>
                <w:szCs w:val="20"/>
                <w14:ligatures w14:val="none"/>
              </w:rPr>
            </w:pPr>
          </w:p>
        </w:tc>
      </w:tr>
      <w:tr w14:paraId="6F8D1F60">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PrEx>
        <w:trPr>
          <w:trHeight w:val="405" w:hRule="atLeast"/>
        </w:trPr>
        <w:tc>
          <w:tcPr>
            <w:tcW w:w="0" w:type="auto"/>
            <w:vMerge w:val="continue"/>
            <w:tcBorders>
              <w:top w:val="single" w:color="7E7E7E" w:themeColor="text1" w:themeTint="80" w:sz="4" w:space="0"/>
              <w:bottom w:val="single" w:color="7E7E7E" w:themeColor="text1" w:themeTint="80" w:sz="4" w:space="0"/>
              <w:insideH w:val="single" w:sz="4" w:space="0"/>
            </w:tcBorders>
          </w:tcPr>
          <w:p w14:paraId="04F4FCA6">
            <w:pPr>
              <w:bidi/>
              <w:spacing w:after="0" w:line="240" w:lineRule="auto"/>
              <w:rPr>
                <w:rFonts w:eastAsia="Times New Roman" w:asciiTheme="majorBidi" w:hAnsiTheme="majorBidi" w:cstheme="majorBidi"/>
                <w:b/>
                <w:bCs/>
                <w:kern w:val="0"/>
                <w:sz w:val="20"/>
                <w:szCs w:val="20"/>
                <w:rtl/>
                <w14:ligatures w14:val="none"/>
              </w:rPr>
            </w:pPr>
          </w:p>
        </w:tc>
        <w:tc>
          <w:tcPr>
            <w:tcW w:w="0" w:type="auto"/>
            <w:vMerge w:val="continue"/>
            <w:tcBorders>
              <w:top w:val="single" w:color="7E7E7E" w:themeColor="text1" w:themeTint="80" w:sz="4" w:space="0"/>
              <w:bottom w:val="single" w:color="7E7E7E" w:themeColor="text1" w:themeTint="80" w:sz="4" w:space="0"/>
              <w:insideH w:val="single" w:sz="4" w:space="0"/>
            </w:tcBorders>
          </w:tcPr>
          <w:p w14:paraId="458D1E22">
            <w:pPr>
              <w:bidi/>
              <w:spacing w:after="0" w:line="240" w:lineRule="auto"/>
              <w:rPr>
                <w:rFonts w:eastAsia="Times New Roman" w:asciiTheme="majorBidi" w:hAnsiTheme="majorBidi" w:cstheme="majorBidi"/>
                <w:kern w:val="0"/>
                <w:sz w:val="20"/>
                <w:szCs w:val="20"/>
                <w:rtl/>
                <w14:ligatures w14:val="none"/>
              </w:rPr>
            </w:pPr>
          </w:p>
        </w:tc>
        <w:tc>
          <w:tcPr>
            <w:tcW w:w="1214" w:type="dxa"/>
            <w:tcBorders>
              <w:top w:val="single" w:color="7E7E7E" w:themeColor="text1" w:themeTint="80" w:sz="4" w:space="0"/>
              <w:bottom w:val="single" w:color="7E7E7E" w:themeColor="text1" w:themeTint="80" w:sz="4" w:space="0"/>
              <w:insideH w:val="single" w:sz="4" w:space="0"/>
            </w:tcBorders>
          </w:tcPr>
          <w:p w14:paraId="51C9D02C">
            <w:pPr>
              <w:bidi/>
              <w:spacing w:after="0" w:line="240" w:lineRule="auto"/>
              <w:rPr>
                <w:rFonts w:eastAsia="Times New Roman" w:asciiTheme="majorBidi" w:hAnsiTheme="majorBidi" w:cstheme="majorBidi"/>
                <w:sz w:val="20"/>
                <w:szCs w:val="20"/>
                <w:rtl/>
              </w:rPr>
            </w:pPr>
            <w:r>
              <w:rPr>
                <w:rFonts w:asciiTheme="majorBidi" w:hAnsiTheme="majorBidi" w:cstheme="majorBidi"/>
                <w:sz w:val="20"/>
                <w:szCs w:val="20"/>
                <w:rtl/>
              </w:rPr>
              <w:t>بكالوريس</w:t>
            </w:r>
          </w:p>
        </w:tc>
        <w:tc>
          <w:tcPr>
            <w:tcW w:w="1560" w:type="dxa"/>
            <w:tcBorders>
              <w:top w:val="single" w:color="7E7E7E" w:themeColor="text1" w:themeTint="80" w:sz="4" w:space="0"/>
              <w:bottom w:val="single" w:color="7E7E7E" w:themeColor="text1" w:themeTint="80" w:sz="4" w:space="0"/>
              <w:insideH w:val="single" w:sz="4" w:space="0"/>
            </w:tcBorders>
          </w:tcPr>
          <w:p w14:paraId="46440F4F">
            <w:pPr>
              <w:spacing w:after="0" w:line="240" w:lineRule="auto"/>
              <w:jc w:val="center"/>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rtl/>
                <w14:ligatures w14:val="none"/>
              </w:rPr>
              <w:t>2.12</w:t>
            </w:r>
          </w:p>
        </w:tc>
        <w:tc>
          <w:tcPr>
            <w:tcW w:w="1512" w:type="dxa"/>
            <w:tcBorders>
              <w:top w:val="single" w:color="7E7E7E" w:themeColor="text1" w:themeTint="80" w:sz="4" w:space="0"/>
              <w:bottom w:val="single" w:color="7E7E7E" w:themeColor="text1" w:themeTint="80" w:sz="4" w:space="0"/>
              <w:insideH w:val="single" w:sz="4" w:space="0"/>
            </w:tcBorders>
          </w:tcPr>
          <w:p w14:paraId="3C0C360C">
            <w:pPr>
              <w:spacing w:after="0" w:line="240" w:lineRule="auto"/>
              <w:jc w:val="center"/>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rtl/>
                <w14:ligatures w14:val="none"/>
              </w:rPr>
              <w:t>0.26</w:t>
            </w:r>
          </w:p>
        </w:tc>
        <w:tc>
          <w:tcPr>
            <w:tcW w:w="1181" w:type="dxa"/>
            <w:vMerge w:val="continue"/>
            <w:tcBorders>
              <w:top w:val="single" w:color="7E7E7E" w:themeColor="text1" w:themeTint="80" w:sz="4" w:space="0"/>
              <w:bottom w:val="single" w:color="7E7E7E" w:themeColor="text1" w:themeTint="80" w:sz="4" w:space="0"/>
              <w:insideH w:val="single" w:sz="4" w:space="0"/>
            </w:tcBorders>
          </w:tcPr>
          <w:p w14:paraId="3B8236DD">
            <w:pPr>
              <w:spacing w:after="0" w:line="240" w:lineRule="auto"/>
              <w:jc w:val="center"/>
              <w:rPr>
                <w:rFonts w:eastAsia="Times New Roman" w:asciiTheme="majorBidi" w:hAnsiTheme="majorBidi" w:cstheme="majorBidi"/>
                <w:kern w:val="0"/>
                <w:sz w:val="20"/>
                <w:szCs w:val="20"/>
                <w14:ligatures w14:val="none"/>
              </w:rPr>
            </w:pPr>
          </w:p>
        </w:tc>
        <w:tc>
          <w:tcPr>
            <w:tcW w:w="1276" w:type="dxa"/>
            <w:vMerge w:val="continue"/>
            <w:tcBorders>
              <w:top w:val="single" w:color="7E7E7E" w:themeColor="text1" w:themeTint="80" w:sz="4" w:space="0"/>
              <w:bottom w:val="single" w:color="7E7E7E" w:themeColor="text1" w:themeTint="80" w:sz="4" w:space="0"/>
              <w:insideH w:val="single" w:sz="4" w:space="0"/>
            </w:tcBorders>
          </w:tcPr>
          <w:p w14:paraId="0D7F8139">
            <w:pPr>
              <w:spacing w:after="0" w:line="240" w:lineRule="auto"/>
              <w:jc w:val="center"/>
              <w:rPr>
                <w:rFonts w:eastAsia="Times New Roman" w:asciiTheme="majorBidi" w:hAnsiTheme="majorBidi" w:cstheme="majorBidi"/>
                <w:kern w:val="0"/>
                <w:sz w:val="20"/>
                <w:szCs w:val="20"/>
                <w14:ligatures w14:val="none"/>
              </w:rPr>
            </w:pPr>
          </w:p>
        </w:tc>
      </w:tr>
      <w:tr w14:paraId="20CCF8B6">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0" w:type="auto"/>
            <w:vMerge w:val="continue"/>
          </w:tcPr>
          <w:p w14:paraId="13F9A482">
            <w:pPr>
              <w:bidi/>
              <w:spacing w:after="0" w:line="240" w:lineRule="auto"/>
              <w:rPr>
                <w:rFonts w:eastAsia="Times New Roman" w:asciiTheme="majorBidi" w:hAnsiTheme="majorBidi" w:cstheme="majorBidi"/>
                <w:b/>
                <w:bCs/>
                <w:kern w:val="0"/>
                <w:sz w:val="20"/>
                <w:szCs w:val="20"/>
                <w:rtl/>
                <w14:ligatures w14:val="none"/>
              </w:rPr>
            </w:pPr>
          </w:p>
        </w:tc>
        <w:tc>
          <w:tcPr>
            <w:tcW w:w="0" w:type="auto"/>
            <w:vMerge w:val="continue"/>
          </w:tcPr>
          <w:p w14:paraId="6B28C1CD">
            <w:pPr>
              <w:bidi/>
              <w:spacing w:after="0" w:line="240" w:lineRule="auto"/>
              <w:rPr>
                <w:rFonts w:eastAsia="Times New Roman" w:asciiTheme="majorBidi" w:hAnsiTheme="majorBidi" w:cstheme="majorBidi"/>
                <w:kern w:val="0"/>
                <w:sz w:val="20"/>
                <w:szCs w:val="20"/>
                <w:rtl/>
                <w14:ligatures w14:val="none"/>
              </w:rPr>
            </w:pPr>
          </w:p>
        </w:tc>
        <w:tc>
          <w:tcPr>
            <w:tcW w:w="1214" w:type="dxa"/>
          </w:tcPr>
          <w:p w14:paraId="159FC69E">
            <w:pPr>
              <w:bidi/>
              <w:spacing w:after="0" w:line="240" w:lineRule="auto"/>
              <w:rPr>
                <w:rFonts w:asciiTheme="majorBidi" w:hAnsiTheme="majorBidi" w:cstheme="majorBidi"/>
                <w:sz w:val="20"/>
                <w:szCs w:val="20"/>
                <w:rtl/>
              </w:rPr>
            </w:pPr>
            <w:r>
              <w:rPr>
                <w:rFonts w:asciiTheme="majorBidi" w:hAnsiTheme="majorBidi" w:cstheme="majorBidi"/>
                <w:sz w:val="20"/>
                <w:szCs w:val="20"/>
                <w:rtl/>
              </w:rPr>
              <w:t>دراسات عليا</w:t>
            </w:r>
          </w:p>
        </w:tc>
        <w:tc>
          <w:tcPr>
            <w:tcW w:w="1560" w:type="dxa"/>
          </w:tcPr>
          <w:p w14:paraId="2D9359AA">
            <w:pPr>
              <w:spacing w:after="0" w:line="240" w:lineRule="auto"/>
              <w:jc w:val="center"/>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rtl/>
                <w14:ligatures w14:val="none"/>
              </w:rPr>
              <w:t>2.33</w:t>
            </w:r>
          </w:p>
        </w:tc>
        <w:tc>
          <w:tcPr>
            <w:tcW w:w="1512" w:type="dxa"/>
          </w:tcPr>
          <w:p w14:paraId="08E3A66D">
            <w:pPr>
              <w:spacing w:after="0" w:line="240" w:lineRule="auto"/>
              <w:jc w:val="center"/>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rtl/>
                <w14:ligatures w14:val="none"/>
              </w:rPr>
              <w:t>0.50</w:t>
            </w:r>
          </w:p>
        </w:tc>
        <w:tc>
          <w:tcPr>
            <w:tcW w:w="1181" w:type="dxa"/>
            <w:vMerge w:val="continue"/>
          </w:tcPr>
          <w:p w14:paraId="20746B02">
            <w:pPr>
              <w:spacing w:after="0" w:line="240" w:lineRule="auto"/>
              <w:jc w:val="center"/>
              <w:rPr>
                <w:rFonts w:eastAsia="Times New Roman" w:asciiTheme="majorBidi" w:hAnsiTheme="majorBidi" w:cstheme="majorBidi"/>
                <w:kern w:val="0"/>
                <w:sz w:val="20"/>
                <w:szCs w:val="20"/>
                <w14:ligatures w14:val="none"/>
              </w:rPr>
            </w:pPr>
          </w:p>
        </w:tc>
        <w:tc>
          <w:tcPr>
            <w:tcW w:w="1276" w:type="dxa"/>
            <w:vMerge w:val="continue"/>
          </w:tcPr>
          <w:p w14:paraId="2D39E32D">
            <w:pPr>
              <w:spacing w:after="0" w:line="240" w:lineRule="auto"/>
              <w:jc w:val="center"/>
              <w:rPr>
                <w:rFonts w:eastAsia="Times New Roman" w:asciiTheme="majorBidi" w:hAnsiTheme="majorBidi" w:cstheme="majorBidi"/>
                <w:kern w:val="0"/>
                <w:sz w:val="20"/>
                <w:szCs w:val="20"/>
                <w14:ligatures w14:val="none"/>
              </w:rPr>
            </w:pPr>
          </w:p>
        </w:tc>
      </w:tr>
      <w:tr w14:paraId="0061346E">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8" w:hRule="atLeast"/>
        </w:trPr>
        <w:tc>
          <w:tcPr>
            <w:tcW w:w="0" w:type="auto"/>
            <w:vMerge w:val="restart"/>
            <w:tcBorders>
              <w:top w:val="single" w:color="7E7E7E" w:themeColor="text1" w:themeTint="80" w:sz="4" w:space="0"/>
              <w:bottom w:val="single" w:color="7E7E7E" w:themeColor="text1" w:themeTint="80" w:sz="4" w:space="0"/>
              <w:insideH w:val="single" w:sz="4" w:space="0"/>
            </w:tcBorders>
          </w:tcPr>
          <w:p w14:paraId="726E1CE8">
            <w:pPr>
              <w:bidi/>
              <w:spacing w:after="0" w:line="240" w:lineRule="auto"/>
              <w:rPr>
                <w:rFonts w:eastAsia="Times New Roman" w:asciiTheme="majorBidi" w:hAnsiTheme="majorBidi" w:cstheme="majorBidi"/>
                <w:b w:val="0"/>
                <w:bCs w:val="0"/>
                <w:kern w:val="0"/>
                <w:sz w:val="20"/>
                <w:szCs w:val="20"/>
                <w14:ligatures w14:val="none"/>
              </w:rPr>
            </w:pPr>
          </w:p>
          <w:p w14:paraId="0557D25E">
            <w:pPr>
              <w:bidi/>
              <w:spacing w:after="0" w:line="240" w:lineRule="auto"/>
              <w:rPr>
                <w:rFonts w:eastAsia="Times New Roman" w:asciiTheme="majorBidi" w:hAnsiTheme="majorBidi" w:cstheme="majorBidi"/>
                <w:b w:val="0"/>
                <w:bCs w:val="0"/>
                <w:kern w:val="0"/>
                <w:sz w:val="20"/>
                <w:szCs w:val="20"/>
                <w14:ligatures w14:val="none"/>
              </w:rPr>
            </w:pPr>
            <w:r>
              <w:rPr>
                <w:rFonts w:eastAsia="Times New Roman" w:asciiTheme="majorBidi" w:hAnsiTheme="majorBidi" w:cstheme="majorBidi"/>
                <w:b w:val="0"/>
                <w:bCs w:val="0"/>
                <w:kern w:val="0"/>
                <w:sz w:val="20"/>
                <w:szCs w:val="20"/>
                <w:rtl/>
                <w14:ligatures w14:val="none"/>
              </w:rPr>
              <w:t>الوصمة الاجتماعية</w:t>
            </w:r>
          </w:p>
        </w:tc>
        <w:tc>
          <w:tcPr>
            <w:tcW w:w="0" w:type="auto"/>
            <w:vMerge w:val="restart"/>
            <w:tcBorders>
              <w:top w:val="single" w:color="7E7E7E" w:themeColor="text1" w:themeTint="80" w:sz="4" w:space="0"/>
              <w:bottom w:val="single" w:color="7E7E7E" w:themeColor="text1" w:themeTint="80" w:sz="4" w:space="0"/>
              <w:insideH w:val="single" w:sz="4" w:space="0"/>
            </w:tcBorders>
          </w:tcPr>
          <w:p w14:paraId="152E0AC9">
            <w:pPr>
              <w:bidi/>
              <w:spacing w:after="0" w:line="240" w:lineRule="auto"/>
              <w:rPr>
                <w:rFonts w:eastAsia="Times New Roman" w:asciiTheme="majorBidi" w:hAnsiTheme="majorBidi" w:cstheme="majorBidi"/>
                <w:kern w:val="0"/>
                <w:sz w:val="20"/>
                <w:szCs w:val="20"/>
                <w:rtl/>
                <w14:ligatures w14:val="none"/>
              </w:rPr>
            </w:pPr>
            <w:r>
              <w:rPr>
                <w:rFonts w:eastAsia="Times New Roman" w:asciiTheme="majorBidi" w:hAnsiTheme="majorBidi" w:cstheme="majorBidi"/>
                <w:kern w:val="0"/>
                <w:sz w:val="20"/>
                <w:szCs w:val="20"/>
                <w:rtl/>
                <w14:ligatures w14:val="none"/>
              </w:rPr>
              <w:t>الجنس</w:t>
            </w:r>
          </w:p>
        </w:tc>
        <w:tc>
          <w:tcPr>
            <w:tcW w:w="1214" w:type="dxa"/>
            <w:tcBorders>
              <w:top w:val="single" w:color="7E7E7E" w:themeColor="text1" w:themeTint="80" w:sz="4" w:space="0"/>
              <w:bottom w:val="single" w:color="7E7E7E" w:themeColor="text1" w:themeTint="80" w:sz="4" w:space="0"/>
              <w:insideH w:val="single" w:sz="4" w:space="0"/>
            </w:tcBorders>
          </w:tcPr>
          <w:p w14:paraId="2260820F">
            <w:pPr>
              <w:bidi/>
              <w:spacing w:after="0" w:line="240" w:lineRule="auto"/>
              <w:jc w:val="lowKashida"/>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rtl/>
                <w14:ligatures w14:val="none"/>
              </w:rPr>
              <w:t xml:space="preserve">ذكر </w:t>
            </w:r>
          </w:p>
        </w:tc>
        <w:tc>
          <w:tcPr>
            <w:tcW w:w="1560" w:type="dxa"/>
            <w:tcBorders>
              <w:top w:val="single" w:color="7E7E7E" w:themeColor="text1" w:themeTint="80" w:sz="4" w:space="0"/>
              <w:bottom w:val="single" w:color="7E7E7E" w:themeColor="text1" w:themeTint="80" w:sz="4" w:space="0"/>
              <w:insideH w:val="single" w:sz="4" w:space="0"/>
            </w:tcBorders>
          </w:tcPr>
          <w:p w14:paraId="6B6A4666">
            <w:pPr>
              <w:spacing w:after="0" w:line="240" w:lineRule="auto"/>
              <w:jc w:val="center"/>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rtl/>
                <w14:ligatures w14:val="none"/>
              </w:rPr>
              <w:t>2.42</w:t>
            </w:r>
          </w:p>
        </w:tc>
        <w:tc>
          <w:tcPr>
            <w:tcW w:w="1512" w:type="dxa"/>
            <w:tcBorders>
              <w:top w:val="single" w:color="7E7E7E" w:themeColor="text1" w:themeTint="80" w:sz="4" w:space="0"/>
              <w:bottom w:val="single" w:color="7E7E7E" w:themeColor="text1" w:themeTint="80" w:sz="4" w:space="0"/>
              <w:insideH w:val="single" w:sz="4" w:space="0"/>
            </w:tcBorders>
          </w:tcPr>
          <w:p w14:paraId="671BA5CC">
            <w:pPr>
              <w:spacing w:after="0" w:line="240" w:lineRule="auto"/>
              <w:jc w:val="center"/>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rtl/>
                <w14:ligatures w14:val="none"/>
              </w:rPr>
              <w:t>0.28</w:t>
            </w:r>
          </w:p>
        </w:tc>
        <w:tc>
          <w:tcPr>
            <w:tcW w:w="1181" w:type="dxa"/>
            <w:vMerge w:val="restart"/>
            <w:tcBorders>
              <w:top w:val="single" w:color="7E7E7E" w:themeColor="text1" w:themeTint="80" w:sz="4" w:space="0"/>
              <w:bottom w:val="single" w:color="7E7E7E" w:themeColor="text1" w:themeTint="80" w:sz="4" w:space="0"/>
              <w:insideH w:val="single" w:sz="4" w:space="0"/>
            </w:tcBorders>
          </w:tcPr>
          <w:p w14:paraId="2AB46EEF">
            <w:pPr>
              <w:spacing w:after="0" w:line="240" w:lineRule="auto"/>
              <w:jc w:val="center"/>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rtl/>
                <w14:ligatures w14:val="none"/>
              </w:rPr>
              <w:t>-0.1.06</w:t>
            </w:r>
          </w:p>
        </w:tc>
        <w:tc>
          <w:tcPr>
            <w:tcW w:w="1276" w:type="dxa"/>
            <w:vMerge w:val="restart"/>
            <w:tcBorders>
              <w:top w:val="single" w:color="7E7E7E" w:themeColor="text1" w:themeTint="80" w:sz="4" w:space="0"/>
              <w:bottom w:val="single" w:color="7E7E7E" w:themeColor="text1" w:themeTint="80" w:sz="4" w:space="0"/>
              <w:insideH w:val="single" w:sz="4" w:space="0"/>
            </w:tcBorders>
          </w:tcPr>
          <w:p w14:paraId="671088E9">
            <w:pPr>
              <w:spacing w:after="0" w:line="240" w:lineRule="auto"/>
              <w:jc w:val="center"/>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rtl/>
                <w14:ligatures w14:val="none"/>
              </w:rPr>
              <w:t>0.290</w:t>
            </w:r>
          </w:p>
        </w:tc>
      </w:tr>
      <w:tr w14:paraId="06F892E4">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0" w:type="auto"/>
            <w:vMerge w:val="continue"/>
          </w:tcPr>
          <w:p w14:paraId="2C251503">
            <w:pPr>
              <w:bidi/>
              <w:spacing w:after="0" w:line="240" w:lineRule="auto"/>
              <w:jc w:val="center"/>
              <w:rPr>
                <w:rFonts w:eastAsia="Times New Roman" w:asciiTheme="majorBidi" w:hAnsiTheme="majorBidi" w:cstheme="majorBidi"/>
                <w:b w:val="0"/>
                <w:bCs w:val="0"/>
                <w:kern w:val="0"/>
                <w:sz w:val="20"/>
                <w:szCs w:val="20"/>
                <w:rtl/>
                <w14:ligatures w14:val="none"/>
              </w:rPr>
            </w:pPr>
          </w:p>
        </w:tc>
        <w:tc>
          <w:tcPr>
            <w:tcW w:w="0" w:type="auto"/>
            <w:vMerge w:val="continue"/>
          </w:tcPr>
          <w:p w14:paraId="25A3DEA6">
            <w:pPr>
              <w:bidi/>
              <w:spacing w:after="0" w:line="240" w:lineRule="auto"/>
              <w:rPr>
                <w:rFonts w:eastAsia="Times New Roman" w:asciiTheme="majorBidi" w:hAnsiTheme="majorBidi" w:cstheme="majorBidi"/>
                <w:kern w:val="0"/>
                <w:sz w:val="20"/>
                <w:szCs w:val="20"/>
                <w:rtl/>
                <w14:ligatures w14:val="none"/>
              </w:rPr>
            </w:pPr>
          </w:p>
        </w:tc>
        <w:tc>
          <w:tcPr>
            <w:tcW w:w="1214" w:type="dxa"/>
          </w:tcPr>
          <w:p w14:paraId="1AA13DE7">
            <w:pPr>
              <w:bidi/>
              <w:spacing w:after="0" w:line="240" w:lineRule="auto"/>
              <w:jc w:val="lowKashida"/>
              <w:rPr>
                <w:rFonts w:eastAsia="Times New Roman" w:asciiTheme="majorBidi" w:hAnsiTheme="majorBidi" w:cstheme="majorBidi"/>
                <w:kern w:val="0"/>
                <w:sz w:val="20"/>
                <w:szCs w:val="20"/>
                <w:rtl/>
                <w14:ligatures w14:val="none"/>
              </w:rPr>
            </w:pPr>
            <w:r>
              <w:rPr>
                <w:rFonts w:eastAsia="Times New Roman" w:asciiTheme="majorBidi" w:hAnsiTheme="majorBidi" w:cstheme="majorBidi"/>
                <w:kern w:val="0"/>
                <w:sz w:val="20"/>
                <w:szCs w:val="20"/>
                <w:rtl/>
                <w14:ligatures w14:val="none"/>
              </w:rPr>
              <w:t>أنثى</w:t>
            </w:r>
          </w:p>
        </w:tc>
        <w:tc>
          <w:tcPr>
            <w:tcW w:w="1560" w:type="dxa"/>
          </w:tcPr>
          <w:p w14:paraId="36D09837">
            <w:pPr>
              <w:spacing w:after="0" w:line="240" w:lineRule="auto"/>
              <w:jc w:val="center"/>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rtl/>
                <w14:ligatures w14:val="none"/>
              </w:rPr>
              <w:t>2.45</w:t>
            </w:r>
          </w:p>
        </w:tc>
        <w:tc>
          <w:tcPr>
            <w:tcW w:w="1512" w:type="dxa"/>
          </w:tcPr>
          <w:p w14:paraId="7B6C52E3">
            <w:pPr>
              <w:spacing w:after="0" w:line="240" w:lineRule="auto"/>
              <w:jc w:val="center"/>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rtl/>
                <w14:ligatures w14:val="none"/>
              </w:rPr>
              <w:t>0.27</w:t>
            </w:r>
          </w:p>
        </w:tc>
        <w:tc>
          <w:tcPr>
            <w:tcW w:w="1181" w:type="dxa"/>
            <w:vMerge w:val="continue"/>
          </w:tcPr>
          <w:p w14:paraId="05B4D7AA">
            <w:pPr>
              <w:spacing w:after="0" w:line="240" w:lineRule="auto"/>
              <w:jc w:val="center"/>
              <w:rPr>
                <w:rFonts w:eastAsia="Times New Roman" w:asciiTheme="majorBidi" w:hAnsiTheme="majorBidi" w:cstheme="majorBidi"/>
                <w:kern w:val="0"/>
                <w:sz w:val="20"/>
                <w:szCs w:val="20"/>
                <w14:ligatures w14:val="none"/>
              </w:rPr>
            </w:pPr>
          </w:p>
        </w:tc>
        <w:tc>
          <w:tcPr>
            <w:tcW w:w="1276" w:type="dxa"/>
            <w:vMerge w:val="continue"/>
          </w:tcPr>
          <w:p w14:paraId="05C2385A">
            <w:pPr>
              <w:spacing w:after="0" w:line="240" w:lineRule="auto"/>
              <w:jc w:val="center"/>
              <w:rPr>
                <w:rFonts w:eastAsia="Times New Roman" w:asciiTheme="majorBidi" w:hAnsiTheme="majorBidi" w:cstheme="majorBidi"/>
                <w:kern w:val="0"/>
                <w:sz w:val="20"/>
                <w:szCs w:val="20"/>
                <w14:ligatures w14:val="none"/>
              </w:rPr>
            </w:pPr>
          </w:p>
        </w:tc>
      </w:tr>
      <w:tr w14:paraId="4A6DF0A6">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0" w:type="auto"/>
            <w:vMerge w:val="continue"/>
            <w:tcBorders>
              <w:top w:val="single" w:color="7E7E7E" w:themeColor="text1" w:themeTint="80" w:sz="4" w:space="0"/>
              <w:bottom w:val="single" w:color="7E7E7E" w:themeColor="text1" w:themeTint="80" w:sz="4" w:space="0"/>
              <w:insideH w:val="single" w:sz="4" w:space="0"/>
            </w:tcBorders>
          </w:tcPr>
          <w:p w14:paraId="0927DF2B">
            <w:pPr>
              <w:bidi/>
              <w:spacing w:after="0" w:line="240" w:lineRule="auto"/>
              <w:jc w:val="center"/>
              <w:rPr>
                <w:rFonts w:eastAsia="Times New Roman" w:asciiTheme="majorBidi" w:hAnsiTheme="majorBidi" w:cstheme="majorBidi"/>
                <w:b/>
                <w:bCs/>
                <w:kern w:val="0"/>
                <w:sz w:val="20"/>
                <w:szCs w:val="20"/>
                <w:rtl/>
                <w14:ligatures w14:val="none"/>
              </w:rPr>
            </w:pPr>
          </w:p>
        </w:tc>
        <w:tc>
          <w:tcPr>
            <w:tcW w:w="0" w:type="auto"/>
            <w:vMerge w:val="restart"/>
            <w:tcBorders>
              <w:top w:val="single" w:color="7E7E7E" w:themeColor="text1" w:themeTint="80" w:sz="4" w:space="0"/>
              <w:bottom w:val="single" w:color="7E7E7E" w:themeColor="text1" w:themeTint="80" w:sz="4" w:space="0"/>
              <w:insideH w:val="single" w:sz="4" w:space="0"/>
            </w:tcBorders>
          </w:tcPr>
          <w:p w14:paraId="59A919C9">
            <w:pPr>
              <w:bidi/>
              <w:spacing w:after="0" w:line="240" w:lineRule="auto"/>
              <w:rPr>
                <w:rFonts w:eastAsia="Times New Roman" w:asciiTheme="majorBidi" w:hAnsiTheme="majorBidi" w:cstheme="majorBidi"/>
                <w:kern w:val="0"/>
                <w:sz w:val="20"/>
                <w:szCs w:val="20"/>
                <w:rtl/>
                <w14:ligatures w14:val="none"/>
              </w:rPr>
            </w:pPr>
            <w:r>
              <w:rPr>
                <w:rFonts w:eastAsia="Times New Roman" w:asciiTheme="majorBidi" w:hAnsiTheme="majorBidi" w:cstheme="majorBidi"/>
                <w:kern w:val="0"/>
                <w:sz w:val="20"/>
                <w:szCs w:val="20"/>
                <w:rtl/>
                <w14:ligatures w14:val="none"/>
              </w:rPr>
              <w:t>المؤهل العلمي</w:t>
            </w:r>
          </w:p>
        </w:tc>
        <w:tc>
          <w:tcPr>
            <w:tcW w:w="1214" w:type="dxa"/>
            <w:tcBorders>
              <w:top w:val="single" w:color="7E7E7E" w:themeColor="text1" w:themeTint="80" w:sz="4" w:space="0"/>
              <w:bottom w:val="single" w:color="7E7E7E" w:themeColor="text1" w:themeTint="80" w:sz="4" w:space="0"/>
              <w:insideH w:val="single" w:sz="4" w:space="0"/>
            </w:tcBorders>
          </w:tcPr>
          <w:p w14:paraId="474F1174">
            <w:pPr>
              <w:bidi/>
              <w:spacing w:after="0" w:line="240" w:lineRule="auto"/>
              <w:rPr>
                <w:rFonts w:eastAsia="Times New Roman" w:asciiTheme="majorBidi" w:hAnsiTheme="majorBidi" w:cstheme="majorBidi"/>
                <w:sz w:val="20"/>
                <w:szCs w:val="20"/>
                <w:rtl/>
              </w:rPr>
            </w:pPr>
            <w:r>
              <w:rPr>
                <w:rFonts w:asciiTheme="majorBidi" w:hAnsiTheme="majorBidi" w:cstheme="majorBidi"/>
                <w:sz w:val="20"/>
                <w:szCs w:val="20"/>
                <w:rtl/>
              </w:rPr>
              <w:t>تانوي أو أقل</w:t>
            </w:r>
          </w:p>
        </w:tc>
        <w:tc>
          <w:tcPr>
            <w:tcW w:w="1560" w:type="dxa"/>
            <w:tcBorders>
              <w:top w:val="single" w:color="7E7E7E" w:themeColor="text1" w:themeTint="80" w:sz="4" w:space="0"/>
              <w:bottom w:val="single" w:color="7E7E7E" w:themeColor="text1" w:themeTint="80" w:sz="4" w:space="0"/>
              <w:insideH w:val="single" w:sz="4" w:space="0"/>
            </w:tcBorders>
          </w:tcPr>
          <w:p w14:paraId="3F5D7C63">
            <w:pPr>
              <w:spacing w:after="0" w:line="240" w:lineRule="auto"/>
              <w:jc w:val="center"/>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rtl/>
                <w14:ligatures w14:val="none"/>
              </w:rPr>
              <w:t>2.39</w:t>
            </w:r>
          </w:p>
        </w:tc>
        <w:tc>
          <w:tcPr>
            <w:tcW w:w="1512" w:type="dxa"/>
            <w:tcBorders>
              <w:top w:val="single" w:color="7E7E7E" w:themeColor="text1" w:themeTint="80" w:sz="4" w:space="0"/>
              <w:bottom w:val="single" w:color="7E7E7E" w:themeColor="text1" w:themeTint="80" w:sz="4" w:space="0"/>
              <w:insideH w:val="single" w:sz="4" w:space="0"/>
            </w:tcBorders>
          </w:tcPr>
          <w:p w14:paraId="0079B55D">
            <w:pPr>
              <w:spacing w:after="0" w:line="240" w:lineRule="auto"/>
              <w:jc w:val="center"/>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rtl/>
                <w14:ligatures w14:val="none"/>
              </w:rPr>
              <w:t>0.24</w:t>
            </w:r>
          </w:p>
        </w:tc>
        <w:tc>
          <w:tcPr>
            <w:tcW w:w="1181" w:type="dxa"/>
            <w:vMerge w:val="restart"/>
            <w:tcBorders>
              <w:top w:val="single" w:color="7E7E7E" w:themeColor="text1" w:themeTint="80" w:sz="4" w:space="0"/>
              <w:bottom w:val="single" w:color="7E7E7E" w:themeColor="text1" w:themeTint="80" w:sz="4" w:space="0"/>
              <w:insideH w:val="single" w:sz="4" w:space="0"/>
            </w:tcBorders>
          </w:tcPr>
          <w:p w14:paraId="582F6AA1">
            <w:pPr>
              <w:spacing w:after="0" w:line="240" w:lineRule="auto"/>
              <w:jc w:val="center"/>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rtl/>
                <w14:ligatures w14:val="none"/>
              </w:rPr>
              <w:t>4.405</w:t>
            </w:r>
          </w:p>
        </w:tc>
        <w:tc>
          <w:tcPr>
            <w:tcW w:w="1276" w:type="dxa"/>
            <w:vMerge w:val="restart"/>
            <w:tcBorders>
              <w:top w:val="single" w:color="7E7E7E" w:themeColor="text1" w:themeTint="80" w:sz="4" w:space="0"/>
              <w:bottom w:val="single" w:color="7E7E7E" w:themeColor="text1" w:themeTint="80" w:sz="4" w:space="0"/>
              <w:insideH w:val="single" w:sz="4" w:space="0"/>
            </w:tcBorders>
          </w:tcPr>
          <w:p w14:paraId="2E1A8506">
            <w:pPr>
              <w:spacing w:after="0" w:line="240" w:lineRule="auto"/>
              <w:jc w:val="center"/>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rtl/>
                <w14:ligatures w14:val="none"/>
              </w:rPr>
              <w:t>0.005</w:t>
            </w:r>
          </w:p>
        </w:tc>
      </w:tr>
      <w:tr w14:paraId="4CFF2AD1">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0" w:type="auto"/>
            <w:vMerge w:val="continue"/>
          </w:tcPr>
          <w:p w14:paraId="76B5F65B">
            <w:pPr>
              <w:bidi/>
              <w:spacing w:after="0" w:line="240" w:lineRule="auto"/>
              <w:jc w:val="center"/>
              <w:rPr>
                <w:rFonts w:eastAsia="Times New Roman" w:asciiTheme="majorBidi" w:hAnsiTheme="majorBidi" w:cstheme="majorBidi"/>
                <w:b/>
                <w:bCs/>
                <w:kern w:val="0"/>
                <w:sz w:val="20"/>
                <w:szCs w:val="20"/>
                <w:rtl/>
                <w14:ligatures w14:val="none"/>
              </w:rPr>
            </w:pPr>
          </w:p>
        </w:tc>
        <w:tc>
          <w:tcPr>
            <w:tcW w:w="0" w:type="auto"/>
            <w:vMerge w:val="continue"/>
          </w:tcPr>
          <w:p w14:paraId="3DB8EA09">
            <w:pPr>
              <w:spacing w:after="0" w:line="240" w:lineRule="auto"/>
              <w:jc w:val="lowKashida"/>
              <w:rPr>
                <w:rFonts w:eastAsia="Times New Roman" w:asciiTheme="majorBidi" w:hAnsiTheme="majorBidi" w:cstheme="majorBidi"/>
                <w:kern w:val="0"/>
                <w:sz w:val="20"/>
                <w:szCs w:val="20"/>
                <w:rtl/>
                <w14:ligatures w14:val="none"/>
              </w:rPr>
            </w:pPr>
          </w:p>
        </w:tc>
        <w:tc>
          <w:tcPr>
            <w:tcW w:w="1214" w:type="dxa"/>
          </w:tcPr>
          <w:p w14:paraId="79F7212D">
            <w:pPr>
              <w:bidi/>
              <w:spacing w:after="0" w:line="240" w:lineRule="auto"/>
              <w:rPr>
                <w:rFonts w:eastAsia="Times New Roman" w:asciiTheme="majorBidi" w:hAnsiTheme="majorBidi" w:cstheme="majorBidi"/>
                <w:sz w:val="20"/>
                <w:szCs w:val="20"/>
                <w:rtl/>
              </w:rPr>
            </w:pPr>
            <w:r>
              <w:rPr>
                <w:rFonts w:asciiTheme="majorBidi" w:hAnsiTheme="majorBidi" w:cstheme="majorBidi"/>
                <w:sz w:val="20"/>
                <w:szCs w:val="20"/>
                <w:rtl/>
              </w:rPr>
              <w:t>دبلوم</w:t>
            </w:r>
          </w:p>
        </w:tc>
        <w:tc>
          <w:tcPr>
            <w:tcW w:w="1560" w:type="dxa"/>
          </w:tcPr>
          <w:p w14:paraId="18C0A73F">
            <w:pPr>
              <w:spacing w:after="0" w:line="240" w:lineRule="auto"/>
              <w:jc w:val="center"/>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rtl/>
                <w14:ligatures w14:val="none"/>
              </w:rPr>
              <w:t>2.47</w:t>
            </w:r>
          </w:p>
        </w:tc>
        <w:tc>
          <w:tcPr>
            <w:tcW w:w="1512" w:type="dxa"/>
          </w:tcPr>
          <w:p w14:paraId="31DCE4F1">
            <w:pPr>
              <w:spacing w:after="0" w:line="240" w:lineRule="auto"/>
              <w:jc w:val="center"/>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rtl/>
                <w14:ligatures w14:val="none"/>
              </w:rPr>
              <w:t>0.27</w:t>
            </w:r>
          </w:p>
        </w:tc>
        <w:tc>
          <w:tcPr>
            <w:tcW w:w="1181" w:type="dxa"/>
            <w:vMerge w:val="continue"/>
          </w:tcPr>
          <w:p w14:paraId="0247CF37">
            <w:pPr>
              <w:spacing w:after="0" w:line="240" w:lineRule="auto"/>
              <w:jc w:val="center"/>
              <w:rPr>
                <w:rFonts w:eastAsia="Times New Roman" w:asciiTheme="majorBidi" w:hAnsiTheme="majorBidi" w:cstheme="majorBidi"/>
                <w:kern w:val="0"/>
                <w:sz w:val="20"/>
                <w:szCs w:val="20"/>
                <w14:ligatures w14:val="none"/>
              </w:rPr>
            </w:pPr>
          </w:p>
        </w:tc>
        <w:tc>
          <w:tcPr>
            <w:tcW w:w="1276" w:type="dxa"/>
            <w:vMerge w:val="continue"/>
          </w:tcPr>
          <w:p w14:paraId="17E52668">
            <w:pPr>
              <w:spacing w:after="0" w:line="240" w:lineRule="auto"/>
              <w:jc w:val="center"/>
              <w:rPr>
                <w:rFonts w:eastAsia="Times New Roman" w:asciiTheme="majorBidi" w:hAnsiTheme="majorBidi" w:cstheme="majorBidi"/>
                <w:kern w:val="0"/>
                <w:sz w:val="20"/>
                <w:szCs w:val="20"/>
                <w14:ligatures w14:val="none"/>
              </w:rPr>
            </w:pPr>
          </w:p>
        </w:tc>
      </w:tr>
      <w:tr w14:paraId="4CF3008A">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0" w:type="auto"/>
            <w:vMerge w:val="continue"/>
            <w:tcBorders>
              <w:top w:val="single" w:color="7E7E7E" w:themeColor="text1" w:themeTint="80" w:sz="4" w:space="0"/>
              <w:bottom w:val="single" w:color="7E7E7E" w:themeColor="text1" w:themeTint="80" w:sz="4" w:space="0"/>
              <w:insideH w:val="single" w:sz="4" w:space="0"/>
            </w:tcBorders>
          </w:tcPr>
          <w:p w14:paraId="741A65E5">
            <w:pPr>
              <w:bidi/>
              <w:spacing w:after="0" w:line="240" w:lineRule="auto"/>
              <w:jc w:val="center"/>
              <w:rPr>
                <w:rFonts w:eastAsia="Times New Roman" w:asciiTheme="majorBidi" w:hAnsiTheme="majorBidi" w:cstheme="majorBidi"/>
                <w:b/>
                <w:bCs/>
                <w:kern w:val="0"/>
                <w:sz w:val="20"/>
                <w:szCs w:val="20"/>
                <w:rtl/>
                <w14:ligatures w14:val="none"/>
              </w:rPr>
            </w:pPr>
          </w:p>
        </w:tc>
        <w:tc>
          <w:tcPr>
            <w:tcW w:w="0" w:type="auto"/>
            <w:vMerge w:val="continue"/>
            <w:tcBorders>
              <w:top w:val="single" w:color="7E7E7E" w:themeColor="text1" w:themeTint="80" w:sz="4" w:space="0"/>
              <w:bottom w:val="single" w:color="7E7E7E" w:themeColor="text1" w:themeTint="80" w:sz="4" w:space="0"/>
              <w:insideH w:val="single" w:sz="4" w:space="0"/>
            </w:tcBorders>
          </w:tcPr>
          <w:p w14:paraId="33C3F775">
            <w:pPr>
              <w:spacing w:after="0" w:line="240" w:lineRule="auto"/>
              <w:jc w:val="lowKashida"/>
              <w:rPr>
                <w:rFonts w:eastAsia="Times New Roman" w:asciiTheme="majorBidi" w:hAnsiTheme="majorBidi" w:cstheme="majorBidi"/>
                <w:kern w:val="0"/>
                <w:sz w:val="20"/>
                <w:szCs w:val="20"/>
                <w:rtl/>
                <w14:ligatures w14:val="none"/>
              </w:rPr>
            </w:pPr>
          </w:p>
        </w:tc>
        <w:tc>
          <w:tcPr>
            <w:tcW w:w="1214" w:type="dxa"/>
            <w:tcBorders>
              <w:top w:val="single" w:color="7E7E7E" w:themeColor="text1" w:themeTint="80" w:sz="4" w:space="0"/>
              <w:bottom w:val="single" w:color="7E7E7E" w:themeColor="text1" w:themeTint="80" w:sz="4" w:space="0"/>
              <w:insideH w:val="single" w:sz="4" w:space="0"/>
            </w:tcBorders>
          </w:tcPr>
          <w:p w14:paraId="7FF90151">
            <w:pPr>
              <w:bidi/>
              <w:spacing w:after="0" w:line="240" w:lineRule="auto"/>
              <w:rPr>
                <w:rFonts w:eastAsia="Times New Roman" w:asciiTheme="majorBidi" w:hAnsiTheme="majorBidi" w:cstheme="majorBidi"/>
                <w:sz w:val="20"/>
                <w:szCs w:val="20"/>
                <w:rtl/>
              </w:rPr>
            </w:pPr>
            <w:r>
              <w:rPr>
                <w:rFonts w:asciiTheme="majorBidi" w:hAnsiTheme="majorBidi" w:cstheme="majorBidi"/>
                <w:sz w:val="20"/>
                <w:szCs w:val="20"/>
                <w:rtl/>
              </w:rPr>
              <w:t>بكالوريس</w:t>
            </w:r>
          </w:p>
        </w:tc>
        <w:tc>
          <w:tcPr>
            <w:tcW w:w="1560" w:type="dxa"/>
            <w:tcBorders>
              <w:top w:val="single" w:color="7E7E7E" w:themeColor="text1" w:themeTint="80" w:sz="4" w:space="0"/>
              <w:bottom w:val="single" w:color="7E7E7E" w:themeColor="text1" w:themeTint="80" w:sz="4" w:space="0"/>
              <w:insideH w:val="single" w:sz="4" w:space="0"/>
            </w:tcBorders>
          </w:tcPr>
          <w:p w14:paraId="0EB47B03">
            <w:pPr>
              <w:spacing w:after="0" w:line="240" w:lineRule="auto"/>
              <w:jc w:val="center"/>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rtl/>
                <w14:ligatures w14:val="none"/>
              </w:rPr>
              <w:t>2.40</w:t>
            </w:r>
          </w:p>
        </w:tc>
        <w:tc>
          <w:tcPr>
            <w:tcW w:w="1512" w:type="dxa"/>
            <w:tcBorders>
              <w:top w:val="single" w:color="7E7E7E" w:themeColor="text1" w:themeTint="80" w:sz="4" w:space="0"/>
              <w:bottom w:val="single" w:color="7E7E7E" w:themeColor="text1" w:themeTint="80" w:sz="4" w:space="0"/>
              <w:insideH w:val="single" w:sz="4" w:space="0"/>
            </w:tcBorders>
          </w:tcPr>
          <w:p w14:paraId="3CDFDBDC">
            <w:pPr>
              <w:spacing w:after="0" w:line="240" w:lineRule="auto"/>
              <w:jc w:val="center"/>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rtl/>
                <w14:ligatures w14:val="none"/>
              </w:rPr>
              <w:t>0.28</w:t>
            </w:r>
          </w:p>
        </w:tc>
        <w:tc>
          <w:tcPr>
            <w:tcW w:w="1181" w:type="dxa"/>
            <w:vMerge w:val="continue"/>
            <w:tcBorders>
              <w:top w:val="single" w:color="7E7E7E" w:themeColor="text1" w:themeTint="80" w:sz="4" w:space="0"/>
              <w:bottom w:val="single" w:color="7E7E7E" w:themeColor="text1" w:themeTint="80" w:sz="4" w:space="0"/>
              <w:insideH w:val="single" w:sz="4" w:space="0"/>
            </w:tcBorders>
          </w:tcPr>
          <w:p w14:paraId="7302627B">
            <w:pPr>
              <w:spacing w:after="0" w:line="240" w:lineRule="auto"/>
              <w:jc w:val="center"/>
              <w:rPr>
                <w:rFonts w:eastAsia="Times New Roman" w:asciiTheme="majorBidi" w:hAnsiTheme="majorBidi" w:cstheme="majorBidi"/>
                <w:kern w:val="0"/>
                <w:sz w:val="20"/>
                <w:szCs w:val="20"/>
                <w14:ligatures w14:val="none"/>
              </w:rPr>
            </w:pPr>
          </w:p>
        </w:tc>
        <w:tc>
          <w:tcPr>
            <w:tcW w:w="1276" w:type="dxa"/>
            <w:vMerge w:val="continue"/>
            <w:tcBorders>
              <w:top w:val="single" w:color="7E7E7E" w:themeColor="text1" w:themeTint="80" w:sz="4" w:space="0"/>
              <w:bottom w:val="single" w:color="7E7E7E" w:themeColor="text1" w:themeTint="80" w:sz="4" w:space="0"/>
              <w:insideH w:val="single" w:sz="4" w:space="0"/>
            </w:tcBorders>
          </w:tcPr>
          <w:p w14:paraId="3D89078A">
            <w:pPr>
              <w:spacing w:after="0" w:line="240" w:lineRule="auto"/>
              <w:jc w:val="center"/>
              <w:rPr>
                <w:rFonts w:eastAsia="Times New Roman" w:asciiTheme="majorBidi" w:hAnsiTheme="majorBidi" w:cstheme="majorBidi"/>
                <w:kern w:val="0"/>
                <w:sz w:val="20"/>
                <w:szCs w:val="20"/>
                <w14:ligatures w14:val="none"/>
              </w:rPr>
            </w:pPr>
          </w:p>
        </w:tc>
      </w:tr>
      <w:tr w14:paraId="4137F8C2">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0" w:type="auto"/>
            <w:vMerge w:val="continue"/>
          </w:tcPr>
          <w:p w14:paraId="21688BF2">
            <w:pPr>
              <w:bidi/>
              <w:spacing w:after="0" w:line="240" w:lineRule="auto"/>
              <w:jc w:val="center"/>
              <w:rPr>
                <w:rFonts w:eastAsia="Times New Roman" w:asciiTheme="majorBidi" w:hAnsiTheme="majorBidi" w:cstheme="majorBidi"/>
                <w:b/>
                <w:bCs/>
                <w:kern w:val="0"/>
                <w:sz w:val="20"/>
                <w:szCs w:val="20"/>
                <w:rtl/>
                <w14:ligatures w14:val="none"/>
              </w:rPr>
            </w:pPr>
          </w:p>
        </w:tc>
        <w:tc>
          <w:tcPr>
            <w:tcW w:w="0" w:type="auto"/>
            <w:vMerge w:val="continue"/>
          </w:tcPr>
          <w:p w14:paraId="42CD8646">
            <w:pPr>
              <w:spacing w:after="0" w:line="240" w:lineRule="auto"/>
              <w:jc w:val="lowKashida"/>
              <w:rPr>
                <w:rFonts w:eastAsia="Times New Roman" w:asciiTheme="majorBidi" w:hAnsiTheme="majorBidi" w:cstheme="majorBidi"/>
                <w:kern w:val="0"/>
                <w:sz w:val="20"/>
                <w:szCs w:val="20"/>
                <w:rtl/>
                <w14:ligatures w14:val="none"/>
              </w:rPr>
            </w:pPr>
          </w:p>
        </w:tc>
        <w:tc>
          <w:tcPr>
            <w:tcW w:w="1214" w:type="dxa"/>
          </w:tcPr>
          <w:p w14:paraId="61A51095">
            <w:pPr>
              <w:bidi/>
              <w:spacing w:after="0" w:line="240" w:lineRule="auto"/>
              <w:rPr>
                <w:rFonts w:asciiTheme="majorBidi" w:hAnsiTheme="majorBidi" w:cstheme="majorBidi"/>
                <w:sz w:val="20"/>
                <w:szCs w:val="20"/>
                <w:rtl/>
              </w:rPr>
            </w:pPr>
            <w:r>
              <w:rPr>
                <w:rFonts w:asciiTheme="majorBidi" w:hAnsiTheme="majorBidi" w:cstheme="majorBidi"/>
                <w:sz w:val="20"/>
                <w:szCs w:val="20"/>
                <w:rtl/>
              </w:rPr>
              <w:t>دراسات عليا</w:t>
            </w:r>
          </w:p>
        </w:tc>
        <w:tc>
          <w:tcPr>
            <w:tcW w:w="1560" w:type="dxa"/>
          </w:tcPr>
          <w:p w14:paraId="147A0637">
            <w:pPr>
              <w:spacing w:after="0" w:line="240" w:lineRule="auto"/>
              <w:jc w:val="center"/>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rtl/>
                <w14:ligatures w14:val="none"/>
              </w:rPr>
              <w:t>2.57</w:t>
            </w:r>
          </w:p>
        </w:tc>
        <w:tc>
          <w:tcPr>
            <w:tcW w:w="1512" w:type="dxa"/>
          </w:tcPr>
          <w:p w14:paraId="284D168B">
            <w:pPr>
              <w:spacing w:after="0" w:line="240" w:lineRule="auto"/>
              <w:jc w:val="center"/>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rtl/>
                <w14:ligatures w14:val="none"/>
              </w:rPr>
              <w:t>0.33</w:t>
            </w:r>
          </w:p>
        </w:tc>
        <w:tc>
          <w:tcPr>
            <w:tcW w:w="1181" w:type="dxa"/>
            <w:vMerge w:val="continue"/>
          </w:tcPr>
          <w:p w14:paraId="30668C91">
            <w:pPr>
              <w:spacing w:after="0" w:line="240" w:lineRule="auto"/>
              <w:jc w:val="center"/>
              <w:rPr>
                <w:rFonts w:eastAsia="Times New Roman" w:asciiTheme="majorBidi" w:hAnsiTheme="majorBidi" w:cstheme="majorBidi"/>
                <w:kern w:val="0"/>
                <w:sz w:val="20"/>
                <w:szCs w:val="20"/>
                <w14:ligatures w14:val="none"/>
              </w:rPr>
            </w:pPr>
          </w:p>
        </w:tc>
        <w:tc>
          <w:tcPr>
            <w:tcW w:w="1276" w:type="dxa"/>
            <w:vMerge w:val="continue"/>
          </w:tcPr>
          <w:p w14:paraId="692B67BF">
            <w:pPr>
              <w:spacing w:after="0" w:line="240" w:lineRule="auto"/>
              <w:jc w:val="center"/>
              <w:rPr>
                <w:rFonts w:eastAsia="Times New Roman" w:asciiTheme="majorBidi" w:hAnsiTheme="majorBidi" w:cstheme="majorBidi"/>
                <w:kern w:val="0"/>
                <w:sz w:val="20"/>
                <w:szCs w:val="20"/>
                <w14:ligatures w14:val="none"/>
              </w:rPr>
            </w:pPr>
          </w:p>
        </w:tc>
      </w:tr>
    </w:tbl>
    <w:p w14:paraId="1B4EF34F">
      <w:pPr>
        <w:bidi/>
        <w:spacing w:before="100" w:beforeAutospacing="1" w:after="100" w:afterAutospacing="1" w:line="360" w:lineRule="auto"/>
        <w:jc w:val="lowKashida"/>
        <w:rPr>
          <w:rFonts w:asciiTheme="majorBidi" w:hAnsiTheme="majorBidi" w:cstheme="majorBidi"/>
          <w:rtl/>
        </w:rPr>
      </w:pPr>
      <w:r>
        <w:rPr>
          <w:rFonts w:asciiTheme="majorBidi" w:hAnsiTheme="majorBidi" w:cstheme="majorBidi"/>
          <w:rtl/>
        </w:rPr>
        <w:t>يتبين من نتائج الجدول (7) أن الفروق بين الذكور والإناث في مجالي الوعي بالمرض النفسي والوصمة الاجتماعية كانت ضئيلة جدًا، حيث تقاربت المتوسطات الحسابية بين المجموعتين، وأظهرت نتائج اختبار</w:t>
      </w:r>
      <w:r>
        <w:rPr>
          <w:rFonts w:asciiTheme="majorBidi" w:hAnsiTheme="majorBidi" w:cstheme="majorBidi"/>
        </w:rPr>
        <w:t xml:space="preserve"> (T) </w:t>
      </w:r>
      <w:r>
        <w:rPr>
          <w:rFonts w:asciiTheme="majorBidi" w:hAnsiTheme="majorBidi" w:cstheme="majorBidi"/>
          <w:rtl/>
        </w:rPr>
        <w:t>عدم وجود فروق ذات دلالة إحصائية تُعزى لمتغير الجنس، مما يعني أن مستوى محو الأمية بالصحة النفسية والوصمة تجاه المرض النفسي متشابه لدى الأفراد البالغين بغض النظر عن كونهم ذكورًا أو إناثًا. في المقابل، أظهرت النتائج وجود فروق ذات دلالة إحصائية مرتبطة بمتغير المؤهل العلمي، حيث جاءت القيم الإحصائية</w:t>
      </w:r>
      <w:r>
        <w:rPr>
          <w:rFonts w:asciiTheme="majorBidi" w:hAnsiTheme="majorBidi" w:cstheme="majorBidi"/>
        </w:rPr>
        <w:t xml:space="preserve"> (p=0.000) </w:t>
      </w:r>
      <w:r>
        <w:rPr>
          <w:rFonts w:asciiTheme="majorBidi" w:hAnsiTheme="majorBidi" w:cstheme="majorBidi"/>
          <w:rtl/>
        </w:rPr>
        <w:t>للوعي بالمرض النفسي، و</w:t>
      </w:r>
      <w:r>
        <w:rPr>
          <w:rFonts w:asciiTheme="majorBidi" w:hAnsiTheme="majorBidi" w:cstheme="majorBidi"/>
          <w:rtl/>
          <w:lang w:bidi="ar-JO"/>
        </w:rPr>
        <w:t xml:space="preserve"> </w:t>
      </w:r>
      <w:r>
        <w:rPr>
          <w:rFonts w:asciiTheme="majorBidi" w:hAnsiTheme="majorBidi" w:cstheme="majorBidi"/>
        </w:rPr>
        <w:t xml:space="preserve">p=0.005) </w:t>
      </w:r>
      <w:r>
        <w:rPr>
          <w:rFonts w:asciiTheme="majorBidi" w:hAnsiTheme="majorBidi" w:cstheme="majorBidi"/>
          <w:rtl/>
        </w:rPr>
        <w:t>) للوصمة الاجتماعية</w:t>
      </w:r>
      <w:r>
        <w:rPr>
          <w:rFonts w:asciiTheme="majorBidi" w:hAnsiTheme="majorBidi" w:cstheme="majorBidi"/>
        </w:rPr>
        <w:t xml:space="preserve"> </w:t>
      </w:r>
      <w:r>
        <w:rPr>
          <w:rFonts w:asciiTheme="majorBidi" w:hAnsiTheme="majorBidi" w:cstheme="majorBidi"/>
          <w:rtl/>
        </w:rPr>
        <w:t>أقل من مستوى الدلالة (0.05). وهذا يشير إلى أن المؤهل العلمي يلعب دورًا في تشكيل مستوى محو الأمية بالصحة النفسية والوصمة تجاه المرض النفسي، إذ ارتفعت المتوسطات بشكل ملحوظ لدى الأفراد الحاصلين على الدراسات العليا مقارنةً بذوي المؤهلات الأخرى</w:t>
      </w:r>
      <w:r>
        <w:rPr>
          <w:rFonts w:asciiTheme="majorBidi" w:hAnsiTheme="majorBidi" w:cstheme="majorBidi"/>
        </w:rPr>
        <w:t>.</w:t>
      </w:r>
    </w:p>
    <w:p w14:paraId="61CD9221">
      <w:pPr>
        <w:bidi/>
        <w:spacing w:before="100" w:beforeAutospacing="1" w:after="100" w:afterAutospacing="1" w:line="360" w:lineRule="auto"/>
        <w:jc w:val="lowKashida"/>
        <w:rPr>
          <w:rFonts w:eastAsia="Times New Roman" w:asciiTheme="majorBidi" w:hAnsiTheme="majorBidi" w:cstheme="majorBidi"/>
          <w:kern w:val="0"/>
          <w:rtl/>
          <w14:ligatures w14:val="none"/>
        </w:rPr>
      </w:pPr>
      <w:r>
        <w:rPr>
          <w:rFonts w:eastAsia="Times New Roman" w:asciiTheme="majorBidi" w:hAnsiTheme="majorBidi" w:cstheme="majorBidi"/>
          <w:kern w:val="0"/>
          <w:rtl/>
          <w14:ligatures w14:val="none"/>
        </w:rPr>
        <w:t xml:space="preserve">اتفقت نتائج الدراسة الحالية مع دراسة </w:t>
      </w:r>
      <w:r>
        <w:rPr>
          <w:rFonts w:eastAsia="Times New Roman" w:asciiTheme="majorBidi" w:hAnsiTheme="majorBidi" w:cstheme="majorBidi"/>
          <w:kern w:val="0"/>
          <w14:ligatures w14:val="none"/>
        </w:rPr>
        <w:t xml:space="preserve">(Koutra et al., 2024) </w:t>
      </w:r>
      <w:r>
        <w:rPr>
          <w:rFonts w:hint="cs" w:eastAsia="Times New Roman" w:asciiTheme="majorBidi" w:hAnsiTheme="majorBidi" w:cstheme="majorBidi"/>
          <w:kern w:val="0"/>
          <w:rtl/>
          <w:lang w:bidi="ar-JO"/>
          <w14:ligatures w14:val="none"/>
        </w:rPr>
        <w:t xml:space="preserve"> </w:t>
      </w:r>
      <w:r>
        <w:rPr>
          <w:rFonts w:eastAsia="Times New Roman" w:asciiTheme="majorBidi" w:hAnsiTheme="majorBidi" w:cstheme="majorBidi"/>
          <w:kern w:val="0"/>
          <w:rtl/>
          <w14:ligatures w14:val="none"/>
        </w:rPr>
        <w:t>التي أظهرت أن الفروق في بعض مؤشرات الوعي بالصحة النفسية والمواقف تجاه المرض النفسي قد تكون محدودة أو غير ثابتة بشكل كامل بين الذكور والإناث في بعض الأبعاد، رغم وجود اتجاهات عامة أعلى لدى الإناث في بعض المقاييس، مما يشير إلى أن متغير الجنس ليس عاملًا حاسمًا دائمًا في تشكيل الوعي أو الوصمة</w:t>
      </w:r>
      <w:r>
        <w:rPr>
          <w:rFonts w:eastAsia="Times New Roman" w:asciiTheme="majorBidi" w:hAnsiTheme="majorBidi" w:cstheme="majorBidi"/>
          <w:kern w:val="0"/>
          <w14:ligatures w14:val="none"/>
        </w:rPr>
        <w:t>.</w:t>
      </w:r>
    </w:p>
    <w:p w14:paraId="192C905F">
      <w:pPr>
        <w:bidi/>
        <w:spacing w:before="100" w:beforeAutospacing="1" w:after="100" w:afterAutospacing="1" w:line="360" w:lineRule="auto"/>
        <w:jc w:val="lowKashida"/>
        <w:rPr>
          <w:rFonts w:eastAsia="Times New Roman" w:asciiTheme="majorBidi" w:hAnsiTheme="majorBidi" w:cstheme="majorBidi"/>
          <w:kern w:val="0"/>
          <w14:ligatures w14:val="none"/>
        </w:rPr>
      </w:pPr>
      <w:r>
        <w:rPr>
          <w:rFonts w:eastAsia="Times New Roman" w:asciiTheme="majorBidi" w:hAnsiTheme="majorBidi" w:cstheme="majorBidi"/>
          <w:kern w:val="0"/>
          <w:rtl/>
          <w14:ligatures w14:val="none"/>
        </w:rPr>
        <w:t>أظهرت نتائج الدراسة المتعلقة بمتغيري الجنس والمؤهل العلمي عدم وجود فروق ذات دلالة إحصائية في مستوى الوعي بالمرض النفسي والوصمة الاجتماعية تُعزى لمتغير الجنس، حيث تقاربت المتوسطات الحسابية بين الذكور والإناث في كلا المجالين، وأظهرت قيم</w:t>
      </w:r>
      <w:r>
        <w:rPr>
          <w:rFonts w:eastAsia="Times New Roman" w:asciiTheme="majorBidi" w:hAnsiTheme="majorBidi" w:cstheme="majorBidi"/>
          <w:kern w:val="0"/>
          <w14:ligatures w14:val="none"/>
        </w:rPr>
        <w:t xml:space="preserve"> (T) </w:t>
      </w:r>
      <w:r>
        <w:rPr>
          <w:rFonts w:eastAsia="Times New Roman" w:asciiTheme="majorBidi" w:hAnsiTheme="majorBidi" w:cstheme="majorBidi"/>
          <w:kern w:val="0"/>
          <w:rtl/>
          <w14:ligatures w14:val="none"/>
        </w:rPr>
        <w:t>أن الفروق غير دالة إحصائيًا، مما يشير إلى أن مستوى محو الأمية في الصحة النفسية ومستوى الوصمة الاجتماعية متشابه بين الجنسين في المجتمع الأردني محل الدراسة</w:t>
      </w:r>
      <w:r>
        <w:rPr>
          <w:rFonts w:eastAsia="Times New Roman" w:asciiTheme="majorBidi" w:hAnsiTheme="majorBidi" w:cstheme="majorBidi"/>
          <w:kern w:val="0"/>
          <w14:ligatures w14:val="none"/>
        </w:rPr>
        <w:t>.</w:t>
      </w:r>
    </w:p>
    <w:p w14:paraId="5DAB56FD">
      <w:pPr>
        <w:bidi/>
        <w:spacing w:before="100" w:beforeAutospacing="1" w:after="100" w:afterAutospacing="1" w:line="360" w:lineRule="auto"/>
        <w:jc w:val="lowKashida"/>
        <w:rPr>
          <w:rFonts w:eastAsia="Times New Roman" w:asciiTheme="majorBidi" w:hAnsiTheme="majorBidi" w:cstheme="majorBidi"/>
          <w:kern w:val="0"/>
          <w14:ligatures w14:val="none"/>
        </w:rPr>
      </w:pPr>
      <w:r>
        <w:rPr>
          <w:rFonts w:eastAsia="Times New Roman" w:asciiTheme="majorBidi" w:hAnsiTheme="majorBidi" w:cstheme="majorBidi"/>
          <w:kern w:val="0"/>
          <w:rtl/>
          <w14:ligatures w14:val="none"/>
        </w:rPr>
        <w:t>في المقابل، أظهرت النتائج وجود فروق ذات دلالة إحصائية تُعزى لمتغير المؤهل العلمي في كل من الوعي بالمرض النفسي والوصمة الاجتماعية، حيث كانت القيم الإحصائية دالة عند مستوى (0.05)، وبيّنت النتائج أن الأفراد ذوي المؤهل العلمي الأعلى (الدراسات العليا) سجلوا متوسطات أعلى في مستوى الوعي بالمرض النفسي، وكذلك في مستوى الوصمة الاجتماعية مقارنة ببقية الفئات، مما يشير إلى أن المستوى التعليمي يلعب دورًا مهمًا في تشكيل المعرفة والاتجاهات نحو الصحة النفسية</w:t>
      </w:r>
      <w:r>
        <w:rPr>
          <w:rFonts w:eastAsia="Times New Roman" w:asciiTheme="majorBidi" w:hAnsiTheme="majorBidi" w:cstheme="majorBidi"/>
          <w:kern w:val="0"/>
          <w14:ligatures w14:val="none"/>
        </w:rPr>
        <w:t>.</w:t>
      </w:r>
    </w:p>
    <w:p w14:paraId="78BD3819">
      <w:pPr>
        <w:bidi/>
        <w:spacing w:before="100" w:beforeAutospacing="1" w:after="100" w:afterAutospacing="1" w:line="360" w:lineRule="auto"/>
        <w:jc w:val="lowKashida"/>
        <w:rPr>
          <w:rFonts w:eastAsia="Times New Roman" w:asciiTheme="majorBidi" w:hAnsiTheme="majorBidi" w:cstheme="majorBidi"/>
          <w:kern w:val="0"/>
          <w:rtl/>
          <w14:ligatures w14:val="none"/>
        </w:rPr>
      </w:pPr>
      <w:r>
        <w:rPr>
          <w:rFonts w:eastAsia="Times New Roman" w:asciiTheme="majorBidi" w:hAnsiTheme="majorBidi" w:cstheme="majorBidi"/>
          <w:kern w:val="0"/>
          <w:rtl/>
          <w14:ligatures w14:val="none"/>
        </w:rPr>
        <w:t>ويُفسَّر ذلك بأن التشابه بين الذكور والإناث في الوعي والوصمة قد يعود إلى تعرضهما لنفس المصادر الثقافية والإعلامية والمجتمعية، مما يؤدي إلى تقارب في مستوى المعرفة والاتجاهات، في حين أن ارتفاع مستوى الوعي والوصمة مع ارتفاع المؤهل العلمي قد يعكس زيادة التعرض للمعلومات الأكاديمية والنقاشات العلمية حول الصحة النفسية لدى الفئات الأعلى تعليمًا، إضافة إلى أن الوعي الأكبر قد يجعل الأفراد أكثر إدراكًا للتفاصيل الاجتماعية المرتبطة بالمرض النفسي، بما في ذلك أشكال الوصمة المختلفة، وليس بالضرورة انخفاضها</w:t>
      </w:r>
      <w:r>
        <w:rPr>
          <w:rFonts w:eastAsia="Times New Roman" w:asciiTheme="majorBidi" w:hAnsiTheme="majorBidi" w:cstheme="majorBidi"/>
          <w:kern w:val="0"/>
          <w14:ligatures w14:val="none"/>
        </w:rPr>
        <w:t>.</w:t>
      </w:r>
    </w:p>
    <w:p w14:paraId="3ED8E674">
      <w:pPr>
        <w:bidi/>
        <w:spacing w:before="100" w:beforeAutospacing="1" w:after="100" w:afterAutospacing="1" w:line="360" w:lineRule="auto"/>
        <w:ind w:firstLine="720"/>
        <w:jc w:val="lowKashida"/>
        <w:rPr>
          <w:rFonts w:asciiTheme="majorBidi" w:hAnsiTheme="majorBidi" w:cstheme="majorBidi"/>
          <w:b/>
          <w:bCs/>
          <w:rtl/>
        </w:rPr>
      </w:pPr>
      <w:bookmarkStart w:id="4" w:name="_Hlk208772969"/>
      <w:r>
        <w:rPr>
          <w:rFonts w:asciiTheme="majorBidi" w:hAnsiTheme="majorBidi" w:cstheme="majorBidi"/>
          <w:b/>
          <w:bCs/>
          <w:rtl/>
        </w:rPr>
        <w:t>النتائج المتعلقة بالسؤ</w:t>
      </w:r>
      <w:r>
        <w:rPr>
          <w:rFonts w:asciiTheme="majorBidi" w:hAnsiTheme="majorBidi" w:cstheme="majorBidi"/>
          <w:b/>
          <w:bCs/>
          <w:rtl/>
          <w:lang w:bidi="ar-JO"/>
        </w:rPr>
        <w:t>ال الثالث</w:t>
      </w:r>
      <w:r>
        <w:rPr>
          <w:rFonts w:asciiTheme="majorBidi" w:hAnsiTheme="majorBidi" w:cstheme="majorBidi"/>
          <w:b/>
          <w:bCs/>
          <w:rtl/>
        </w:rPr>
        <w:t>: " هل توجد فروق ذات دلالة إحصائية في مستوى الوعي بالمرض النفسي والوصمة الاجتماعية تُعزى إلى وجود خبرة سابقة أو تدريب في مجال الصحة النفسية؟</w:t>
      </w:r>
      <w:r>
        <w:rPr>
          <w:rFonts w:asciiTheme="majorBidi" w:hAnsiTheme="majorBidi" w:cstheme="majorBidi"/>
          <w:b/>
          <w:bCs/>
        </w:rPr>
        <w:t>"</w:t>
      </w:r>
    </w:p>
    <w:bookmarkEnd w:id="4"/>
    <w:p w14:paraId="220DD84B">
      <w:pPr>
        <w:bidi/>
        <w:spacing w:before="100" w:beforeAutospacing="1" w:after="100" w:afterAutospacing="1" w:line="360" w:lineRule="auto"/>
        <w:jc w:val="lowKashida"/>
        <w:rPr>
          <w:rFonts w:eastAsia="Times New Roman" w:asciiTheme="majorBidi" w:hAnsiTheme="majorBidi" w:cstheme="majorBidi"/>
          <w:kern w:val="0"/>
          <w:rtl/>
          <w14:ligatures w14:val="none"/>
        </w:rPr>
      </w:pPr>
      <w:r>
        <w:rPr>
          <w:rFonts w:asciiTheme="majorBidi" w:hAnsiTheme="majorBidi" w:cstheme="majorBidi"/>
          <w:rtl/>
        </w:rPr>
        <w:t>للإجابة عن هذا السؤال تم حساب المتوسطات الحسابية والانحرافات المعيارية</w:t>
      </w:r>
      <w:r>
        <w:rPr>
          <w:rFonts w:asciiTheme="majorBidi" w:hAnsiTheme="majorBidi" w:cstheme="majorBidi"/>
          <w:b/>
          <w:bCs/>
          <w:rtl/>
        </w:rPr>
        <w:t xml:space="preserve"> </w:t>
      </w:r>
      <w:r>
        <w:rPr>
          <w:rFonts w:asciiTheme="majorBidi" w:hAnsiTheme="majorBidi" w:cstheme="majorBidi"/>
          <w:rtl/>
        </w:rPr>
        <w:t>واختبار (</w:t>
      </w:r>
      <w:r>
        <w:rPr>
          <w:rFonts w:asciiTheme="majorBidi" w:hAnsiTheme="majorBidi" w:cstheme="majorBidi"/>
        </w:rPr>
        <w:t>(T</w:t>
      </w:r>
      <w:r>
        <w:rPr>
          <w:rFonts w:asciiTheme="majorBidi" w:hAnsiTheme="majorBidi" w:cstheme="majorBidi"/>
          <w:rtl/>
        </w:rPr>
        <w:t xml:space="preserve"> </w:t>
      </w:r>
      <w:r>
        <w:rPr>
          <w:rFonts w:asciiTheme="majorBidi" w:hAnsiTheme="majorBidi" w:cstheme="majorBidi"/>
          <w:rtl/>
          <w:lang w:bidi="ar-BH"/>
        </w:rPr>
        <w:t>لل</w:t>
      </w:r>
      <w:r>
        <w:rPr>
          <w:rFonts w:asciiTheme="majorBidi" w:hAnsiTheme="majorBidi" w:cstheme="majorBidi"/>
          <w:rtl/>
        </w:rPr>
        <w:t xml:space="preserve">عينات المستقلة </w:t>
      </w:r>
      <w:r>
        <w:rPr>
          <w:rFonts w:eastAsia="Times New Roman" w:asciiTheme="majorBidi" w:hAnsiTheme="majorBidi" w:cstheme="majorBidi"/>
          <w:kern w:val="0"/>
          <w:rtl/>
          <w14:ligatures w14:val="none"/>
        </w:rPr>
        <w:t>لمجال الوعي بالمرض النفسي والوصمة الاجتماعية</w:t>
      </w:r>
      <w:r>
        <w:rPr>
          <w:rFonts w:asciiTheme="majorBidi" w:hAnsiTheme="majorBidi" w:cstheme="majorBidi"/>
          <w:rtl/>
        </w:rPr>
        <w:t xml:space="preserve">، تبعًا لمتغير </w:t>
      </w:r>
      <w:r>
        <w:rPr>
          <w:rFonts w:eastAsia="Times New Roman" w:asciiTheme="majorBidi" w:hAnsiTheme="majorBidi" w:cstheme="majorBidi"/>
          <w:kern w:val="0"/>
          <w:rtl/>
          <w14:ligatures w14:val="none"/>
        </w:rPr>
        <w:t>وجود خبرة سابقة والتدريب السابق</w:t>
      </w:r>
    </w:p>
    <w:p w14:paraId="082F7B28">
      <w:pPr>
        <w:bidi/>
        <w:spacing w:after="0" w:line="360" w:lineRule="auto"/>
        <w:jc w:val="lowKashida"/>
        <w:rPr>
          <w:rFonts w:asciiTheme="majorBidi" w:hAnsiTheme="majorBidi" w:cstheme="majorBidi"/>
          <w:b/>
          <w:bCs/>
          <w:sz w:val="20"/>
          <w:szCs w:val="20"/>
          <w:rtl/>
        </w:rPr>
      </w:pPr>
      <w:r>
        <w:rPr>
          <w:rFonts w:asciiTheme="majorBidi" w:hAnsiTheme="majorBidi" w:cstheme="majorBidi"/>
          <w:b/>
          <w:bCs/>
          <w:sz w:val="20"/>
          <w:szCs w:val="20"/>
          <w:rtl/>
        </w:rPr>
        <w:t>جدول (8) الأوساط الحسابية والانحرافات المعيارية واختبار (</w:t>
      </w:r>
      <w:r>
        <w:rPr>
          <w:rFonts w:asciiTheme="majorBidi" w:hAnsiTheme="majorBidi" w:cstheme="majorBidi"/>
          <w:b/>
          <w:bCs/>
          <w:sz w:val="20"/>
          <w:szCs w:val="20"/>
        </w:rPr>
        <w:t>(T</w:t>
      </w:r>
      <w:r>
        <w:rPr>
          <w:rFonts w:asciiTheme="majorBidi" w:hAnsiTheme="majorBidi" w:cstheme="majorBidi"/>
          <w:b/>
          <w:bCs/>
          <w:sz w:val="20"/>
          <w:szCs w:val="20"/>
          <w:rtl/>
        </w:rPr>
        <w:t xml:space="preserve"> لمجال </w:t>
      </w:r>
      <w:r>
        <w:rPr>
          <w:rFonts w:asciiTheme="majorBidi" w:hAnsiTheme="majorBidi" w:cstheme="majorBidi"/>
          <w:b/>
          <w:bCs/>
          <w:sz w:val="20"/>
          <w:szCs w:val="20"/>
          <w:rtl/>
          <w:lang w:bidi="ar-JO"/>
        </w:rPr>
        <w:t xml:space="preserve">الصحة النفسية </w:t>
      </w:r>
      <w:r>
        <w:rPr>
          <w:rFonts w:asciiTheme="majorBidi" w:hAnsiTheme="majorBidi" w:cstheme="majorBidi"/>
          <w:b/>
          <w:bCs/>
          <w:sz w:val="20"/>
          <w:szCs w:val="20"/>
          <w:rtl/>
        </w:rPr>
        <w:t xml:space="preserve">تبعًا لمتغير </w:t>
      </w:r>
      <w:r>
        <w:rPr>
          <w:rFonts w:eastAsia="Times New Roman" w:asciiTheme="majorBidi" w:hAnsiTheme="majorBidi" w:cstheme="majorBidi"/>
          <w:b/>
          <w:bCs/>
          <w:kern w:val="0"/>
          <w:sz w:val="20"/>
          <w:szCs w:val="20"/>
          <w:rtl/>
          <w14:ligatures w14:val="none"/>
        </w:rPr>
        <w:t>وجود خبرة سابقة والتدريب السابق</w:t>
      </w:r>
    </w:p>
    <w:tbl>
      <w:tblPr>
        <w:tblStyle w:val="18"/>
        <w:bidiVisual/>
        <w:tblW w:w="0" w:type="auto"/>
        <w:tblInd w:w="0" w:type="dxa"/>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267"/>
        <w:gridCol w:w="1471"/>
        <w:gridCol w:w="947"/>
        <w:gridCol w:w="1697"/>
        <w:gridCol w:w="1556"/>
        <w:gridCol w:w="865"/>
        <w:gridCol w:w="1557"/>
      </w:tblGrid>
      <w:tr w14:paraId="5A1219B8">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67" w:type="dxa"/>
            <w:tcBorders>
              <w:bottom w:val="single" w:color="7E7E7E" w:themeColor="text1" w:themeTint="80" w:sz="4" w:space="0"/>
              <w:insideH w:val="single" w:sz="4" w:space="0"/>
            </w:tcBorders>
          </w:tcPr>
          <w:p w14:paraId="20947311">
            <w:pPr>
              <w:spacing w:after="0" w:line="240" w:lineRule="auto"/>
              <w:jc w:val="lowKashida"/>
              <w:rPr>
                <w:rFonts w:eastAsia="Times New Roman" w:asciiTheme="majorBidi" w:hAnsiTheme="majorBidi" w:cstheme="majorBidi"/>
                <w:b w:val="0"/>
                <w:bCs w:val="0"/>
                <w:kern w:val="0"/>
                <w:sz w:val="20"/>
                <w:szCs w:val="20"/>
                <w:rtl/>
                <w14:ligatures w14:val="none"/>
              </w:rPr>
            </w:pPr>
          </w:p>
        </w:tc>
        <w:tc>
          <w:tcPr>
            <w:tcW w:w="1471" w:type="dxa"/>
            <w:tcBorders>
              <w:bottom w:val="single" w:color="7E7E7E" w:themeColor="text1" w:themeTint="80" w:sz="4" w:space="0"/>
              <w:insideH w:val="single" w:sz="4" w:space="0"/>
            </w:tcBorders>
          </w:tcPr>
          <w:p w14:paraId="7A0F1C3A">
            <w:pPr>
              <w:spacing w:after="0" w:line="240" w:lineRule="auto"/>
              <w:jc w:val="right"/>
              <w:rPr>
                <w:rFonts w:eastAsia="Times New Roman" w:asciiTheme="majorBidi" w:hAnsiTheme="majorBidi" w:cstheme="majorBidi"/>
                <w:b/>
                <w:bCs/>
                <w:kern w:val="0"/>
                <w:sz w:val="20"/>
                <w:szCs w:val="20"/>
                <w:rtl/>
                <w14:ligatures w14:val="none"/>
              </w:rPr>
            </w:pPr>
          </w:p>
        </w:tc>
        <w:tc>
          <w:tcPr>
            <w:tcW w:w="947" w:type="dxa"/>
            <w:tcBorders>
              <w:bottom w:val="single" w:color="7E7E7E" w:themeColor="text1" w:themeTint="80" w:sz="4" w:space="0"/>
              <w:insideH w:val="single" w:sz="4" w:space="0"/>
            </w:tcBorders>
          </w:tcPr>
          <w:p w14:paraId="30BAE118">
            <w:pPr>
              <w:spacing w:after="0" w:line="240" w:lineRule="auto"/>
              <w:jc w:val="right"/>
              <w:rPr>
                <w:rFonts w:eastAsia="Times New Roman" w:asciiTheme="majorBidi" w:hAnsiTheme="majorBidi" w:cstheme="majorBidi"/>
                <w:b/>
                <w:bCs/>
                <w:kern w:val="0"/>
                <w:sz w:val="20"/>
                <w:szCs w:val="20"/>
                <w14:ligatures w14:val="none"/>
              </w:rPr>
            </w:pPr>
            <w:r>
              <w:rPr>
                <w:rFonts w:eastAsia="Times New Roman" w:asciiTheme="majorBidi" w:hAnsiTheme="majorBidi" w:cstheme="majorBidi"/>
                <w:b/>
                <w:bCs/>
                <w:kern w:val="0"/>
                <w:sz w:val="20"/>
                <w:szCs w:val="20"/>
                <w:rtl/>
                <w14:ligatures w14:val="none"/>
              </w:rPr>
              <w:t>المتغيرات</w:t>
            </w:r>
          </w:p>
        </w:tc>
        <w:tc>
          <w:tcPr>
            <w:tcW w:w="1697" w:type="dxa"/>
            <w:tcBorders>
              <w:bottom w:val="single" w:color="7E7E7E" w:themeColor="text1" w:themeTint="80" w:sz="4" w:space="0"/>
              <w:insideH w:val="single" w:sz="4" w:space="0"/>
            </w:tcBorders>
          </w:tcPr>
          <w:p w14:paraId="0C5A31A9">
            <w:pPr>
              <w:spacing w:after="0" w:line="240" w:lineRule="auto"/>
              <w:jc w:val="center"/>
              <w:rPr>
                <w:rFonts w:eastAsia="Times New Roman" w:asciiTheme="majorBidi" w:hAnsiTheme="majorBidi" w:cstheme="majorBidi"/>
                <w:b/>
                <w:bCs/>
                <w:kern w:val="0"/>
                <w:sz w:val="20"/>
                <w:szCs w:val="20"/>
                <w14:ligatures w14:val="none"/>
              </w:rPr>
            </w:pPr>
            <w:r>
              <w:rPr>
                <w:rFonts w:eastAsia="Times New Roman" w:asciiTheme="majorBidi" w:hAnsiTheme="majorBidi" w:cstheme="majorBidi"/>
                <w:b/>
                <w:bCs/>
                <w:kern w:val="0"/>
                <w:sz w:val="20"/>
                <w:szCs w:val="20"/>
                <w:rtl/>
                <w14:ligatures w14:val="none"/>
              </w:rPr>
              <w:t>المتوسط الحسابي</w:t>
            </w:r>
            <w:r>
              <w:rPr>
                <w:rFonts w:eastAsia="Times New Roman" w:asciiTheme="majorBidi" w:hAnsiTheme="majorBidi" w:cstheme="majorBidi"/>
                <w:b/>
                <w:bCs/>
                <w:kern w:val="0"/>
                <w:sz w:val="20"/>
                <w:szCs w:val="20"/>
                <w14:ligatures w14:val="none"/>
              </w:rPr>
              <w:t xml:space="preserve"> (M)</w:t>
            </w:r>
          </w:p>
        </w:tc>
        <w:tc>
          <w:tcPr>
            <w:tcW w:w="1556" w:type="dxa"/>
            <w:tcBorders>
              <w:bottom w:val="single" w:color="7E7E7E" w:themeColor="text1" w:themeTint="80" w:sz="4" w:space="0"/>
              <w:insideH w:val="single" w:sz="4" w:space="0"/>
            </w:tcBorders>
          </w:tcPr>
          <w:p w14:paraId="7B2FCEFF">
            <w:pPr>
              <w:spacing w:after="0" w:line="240" w:lineRule="auto"/>
              <w:jc w:val="center"/>
              <w:rPr>
                <w:rFonts w:eastAsia="Times New Roman" w:asciiTheme="majorBidi" w:hAnsiTheme="majorBidi" w:cstheme="majorBidi"/>
                <w:b/>
                <w:bCs/>
                <w:kern w:val="0"/>
                <w:sz w:val="20"/>
                <w:szCs w:val="20"/>
                <w14:ligatures w14:val="none"/>
              </w:rPr>
            </w:pPr>
            <w:r>
              <w:rPr>
                <w:rFonts w:eastAsia="Times New Roman" w:asciiTheme="majorBidi" w:hAnsiTheme="majorBidi" w:cstheme="majorBidi"/>
                <w:b/>
                <w:bCs/>
                <w:kern w:val="0"/>
                <w:sz w:val="20"/>
                <w:szCs w:val="20"/>
                <w:rtl/>
                <w14:ligatures w14:val="none"/>
              </w:rPr>
              <w:t>الانحراف المعياري</w:t>
            </w:r>
            <w:r>
              <w:rPr>
                <w:rFonts w:eastAsia="Times New Roman" w:asciiTheme="majorBidi" w:hAnsiTheme="majorBidi" w:cstheme="majorBidi"/>
                <w:b/>
                <w:bCs/>
                <w:kern w:val="0"/>
                <w:sz w:val="20"/>
                <w:szCs w:val="20"/>
                <w14:ligatures w14:val="none"/>
              </w:rPr>
              <w:t xml:space="preserve"> (SD)</w:t>
            </w:r>
          </w:p>
        </w:tc>
        <w:tc>
          <w:tcPr>
            <w:tcW w:w="865" w:type="dxa"/>
            <w:tcBorders>
              <w:bottom w:val="single" w:color="7E7E7E" w:themeColor="text1" w:themeTint="80" w:sz="4" w:space="0"/>
              <w:insideH w:val="single" w:sz="4" w:space="0"/>
            </w:tcBorders>
          </w:tcPr>
          <w:p w14:paraId="74250C16">
            <w:pPr>
              <w:spacing w:after="0" w:line="240" w:lineRule="auto"/>
              <w:jc w:val="center"/>
              <w:rPr>
                <w:rFonts w:eastAsia="Times New Roman" w:asciiTheme="majorBidi" w:hAnsiTheme="majorBidi" w:cstheme="majorBidi"/>
                <w:b/>
                <w:bCs/>
                <w:kern w:val="0"/>
                <w:sz w:val="20"/>
                <w:szCs w:val="20"/>
                <w:rtl/>
                <w14:ligatures w14:val="none"/>
              </w:rPr>
            </w:pPr>
            <w:r>
              <w:rPr>
                <w:rFonts w:asciiTheme="majorBidi" w:hAnsiTheme="majorBidi" w:cstheme="majorBidi"/>
                <w:b/>
                <w:bCs/>
                <w:sz w:val="20"/>
                <w:szCs w:val="20"/>
              </w:rPr>
              <w:t>T</w:t>
            </w:r>
          </w:p>
        </w:tc>
        <w:tc>
          <w:tcPr>
            <w:tcW w:w="1557" w:type="dxa"/>
            <w:tcBorders>
              <w:bottom w:val="single" w:color="7E7E7E" w:themeColor="text1" w:themeTint="80" w:sz="4" w:space="0"/>
              <w:insideH w:val="single" w:sz="4" w:space="0"/>
            </w:tcBorders>
          </w:tcPr>
          <w:p w14:paraId="4C4DA725">
            <w:pPr>
              <w:spacing w:after="0" w:line="240" w:lineRule="auto"/>
              <w:jc w:val="center"/>
              <w:rPr>
                <w:rFonts w:eastAsia="Times New Roman" w:asciiTheme="majorBidi" w:hAnsiTheme="majorBidi" w:cstheme="majorBidi"/>
                <w:b/>
                <w:bCs/>
                <w:kern w:val="0"/>
                <w:sz w:val="20"/>
                <w:szCs w:val="20"/>
                <w14:ligatures w14:val="none"/>
              </w:rPr>
            </w:pPr>
            <w:r>
              <w:rPr>
                <w:rFonts w:eastAsia="Times New Roman" w:asciiTheme="majorBidi" w:hAnsiTheme="majorBidi" w:cstheme="majorBidi"/>
                <w:b/>
                <w:bCs/>
                <w:kern w:val="0"/>
                <w:sz w:val="20"/>
                <w:szCs w:val="20"/>
                <w:rtl/>
                <w14:ligatures w14:val="none"/>
              </w:rPr>
              <w:t>القيمة الاحصائية</w:t>
            </w:r>
            <w:r>
              <w:rPr>
                <w:rFonts w:eastAsia="Times New Roman" w:asciiTheme="majorBidi" w:hAnsiTheme="majorBidi" w:cstheme="majorBidi"/>
                <w:b/>
                <w:bCs/>
                <w:kern w:val="0"/>
                <w:sz w:val="20"/>
                <w:szCs w:val="20"/>
                <w14:ligatures w14:val="none"/>
              </w:rPr>
              <w:t xml:space="preserve"> (p)</w:t>
            </w:r>
          </w:p>
        </w:tc>
      </w:tr>
      <w:tr w14:paraId="682815C6">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1267" w:type="dxa"/>
            <w:vMerge w:val="restart"/>
            <w:tcBorders>
              <w:top w:val="single" w:color="7E7E7E" w:themeColor="text1" w:themeTint="80" w:sz="4" w:space="0"/>
              <w:bottom w:val="single" w:color="7E7E7E" w:themeColor="text1" w:themeTint="80" w:sz="4" w:space="0"/>
              <w:insideH w:val="single" w:sz="4" w:space="0"/>
            </w:tcBorders>
          </w:tcPr>
          <w:p w14:paraId="03719B89">
            <w:pPr>
              <w:bidi/>
              <w:spacing w:after="0" w:line="240" w:lineRule="auto"/>
              <w:jc w:val="lowKashida"/>
              <w:rPr>
                <w:rFonts w:eastAsia="Times New Roman" w:asciiTheme="majorBidi" w:hAnsiTheme="majorBidi" w:cstheme="majorBidi"/>
                <w:b w:val="0"/>
                <w:bCs w:val="0"/>
                <w:kern w:val="0"/>
                <w:sz w:val="20"/>
                <w:szCs w:val="20"/>
                <w14:ligatures w14:val="none"/>
              </w:rPr>
            </w:pPr>
            <w:r>
              <w:rPr>
                <w:rFonts w:eastAsia="Times New Roman" w:asciiTheme="majorBidi" w:hAnsiTheme="majorBidi" w:cstheme="majorBidi"/>
                <w:b w:val="0"/>
                <w:bCs w:val="0"/>
                <w:kern w:val="0"/>
                <w:sz w:val="20"/>
                <w:szCs w:val="20"/>
                <w:rtl/>
                <w14:ligatures w14:val="none"/>
              </w:rPr>
              <w:t>الوعي بالمرض النفسي</w:t>
            </w:r>
          </w:p>
          <w:p w14:paraId="38689BA1">
            <w:pPr>
              <w:bidi/>
              <w:spacing w:after="0" w:line="240" w:lineRule="auto"/>
              <w:jc w:val="lowKashida"/>
              <w:rPr>
                <w:rFonts w:eastAsia="Times New Roman" w:asciiTheme="majorBidi" w:hAnsiTheme="majorBidi" w:cstheme="majorBidi"/>
                <w:b w:val="0"/>
                <w:bCs w:val="0"/>
                <w:kern w:val="0"/>
                <w:sz w:val="20"/>
                <w:szCs w:val="20"/>
                <w14:ligatures w14:val="none"/>
              </w:rPr>
            </w:pPr>
            <w:r>
              <w:rPr>
                <w:rFonts w:eastAsia="Times New Roman" w:asciiTheme="majorBidi" w:hAnsiTheme="majorBidi" w:cstheme="majorBidi"/>
                <w:b w:val="0"/>
                <w:bCs w:val="0"/>
                <w:kern w:val="0"/>
                <w:sz w:val="20"/>
                <w:szCs w:val="20"/>
                <w14:ligatures w14:val="none"/>
              </w:rPr>
              <w:t xml:space="preserve"> </w:t>
            </w:r>
          </w:p>
        </w:tc>
        <w:tc>
          <w:tcPr>
            <w:tcW w:w="1471" w:type="dxa"/>
            <w:vMerge w:val="restart"/>
            <w:tcBorders>
              <w:top w:val="single" w:color="7E7E7E" w:themeColor="text1" w:themeTint="80" w:sz="4" w:space="0"/>
              <w:bottom w:val="single" w:color="7E7E7E" w:themeColor="text1" w:themeTint="80" w:sz="4" w:space="0"/>
              <w:insideH w:val="single" w:sz="4" w:space="0"/>
            </w:tcBorders>
          </w:tcPr>
          <w:p w14:paraId="2027468F">
            <w:pPr>
              <w:bidi/>
              <w:spacing w:after="0" w:line="240" w:lineRule="auto"/>
              <w:jc w:val="both"/>
              <w:rPr>
                <w:rFonts w:eastAsia="Times New Roman" w:asciiTheme="majorBidi" w:hAnsiTheme="majorBidi" w:cstheme="majorBidi"/>
                <w:kern w:val="0"/>
                <w:sz w:val="20"/>
                <w:szCs w:val="20"/>
                <w:rtl/>
                <w14:ligatures w14:val="none"/>
              </w:rPr>
            </w:pPr>
            <w:r>
              <w:rPr>
                <w:rFonts w:eastAsia="Times New Roman" w:asciiTheme="majorBidi" w:hAnsiTheme="majorBidi" w:cstheme="majorBidi"/>
                <w:kern w:val="0"/>
                <w:sz w:val="20"/>
                <w:szCs w:val="20"/>
                <w:rtl/>
                <w14:ligatures w14:val="none"/>
              </w:rPr>
              <w:t>وجود خبرة سابقة</w:t>
            </w:r>
          </w:p>
        </w:tc>
        <w:tc>
          <w:tcPr>
            <w:tcW w:w="947" w:type="dxa"/>
            <w:tcBorders>
              <w:top w:val="single" w:color="7E7E7E" w:themeColor="text1" w:themeTint="80" w:sz="4" w:space="0"/>
              <w:bottom w:val="single" w:color="7E7E7E" w:themeColor="text1" w:themeTint="80" w:sz="4" w:space="0"/>
              <w:insideH w:val="single" w:sz="4" w:space="0"/>
            </w:tcBorders>
          </w:tcPr>
          <w:p w14:paraId="1DCA91FA">
            <w:pPr>
              <w:bidi/>
              <w:spacing w:after="0" w:line="240" w:lineRule="auto"/>
              <w:jc w:val="both"/>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rtl/>
                <w14:ligatures w14:val="none"/>
              </w:rPr>
              <w:t xml:space="preserve">نعم </w:t>
            </w:r>
          </w:p>
        </w:tc>
        <w:tc>
          <w:tcPr>
            <w:tcW w:w="1697" w:type="dxa"/>
            <w:tcBorders>
              <w:top w:val="single" w:color="7E7E7E" w:themeColor="text1" w:themeTint="80" w:sz="4" w:space="0"/>
              <w:bottom w:val="single" w:color="7E7E7E" w:themeColor="text1" w:themeTint="80" w:sz="4" w:space="0"/>
              <w:insideH w:val="single" w:sz="4" w:space="0"/>
            </w:tcBorders>
          </w:tcPr>
          <w:p w14:paraId="7F4ED5DE">
            <w:pPr>
              <w:spacing w:after="0" w:line="240" w:lineRule="auto"/>
              <w:jc w:val="center"/>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rtl/>
                <w14:ligatures w14:val="none"/>
              </w:rPr>
              <w:t>2.33</w:t>
            </w:r>
          </w:p>
        </w:tc>
        <w:tc>
          <w:tcPr>
            <w:tcW w:w="1556" w:type="dxa"/>
            <w:tcBorders>
              <w:top w:val="single" w:color="7E7E7E" w:themeColor="text1" w:themeTint="80" w:sz="4" w:space="0"/>
              <w:bottom w:val="single" w:color="7E7E7E" w:themeColor="text1" w:themeTint="80" w:sz="4" w:space="0"/>
              <w:insideH w:val="single" w:sz="4" w:space="0"/>
            </w:tcBorders>
          </w:tcPr>
          <w:p w14:paraId="0E6FB2BE">
            <w:pPr>
              <w:spacing w:after="0" w:line="240" w:lineRule="auto"/>
              <w:jc w:val="center"/>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rtl/>
                <w14:ligatures w14:val="none"/>
              </w:rPr>
              <w:t>0.21</w:t>
            </w:r>
          </w:p>
        </w:tc>
        <w:tc>
          <w:tcPr>
            <w:tcW w:w="865" w:type="dxa"/>
            <w:vMerge w:val="restart"/>
            <w:tcBorders>
              <w:top w:val="single" w:color="7E7E7E" w:themeColor="text1" w:themeTint="80" w:sz="4" w:space="0"/>
              <w:bottom w:val="single" w:color="7E7E7E" w:themeColor="text1" w:themeTint="80" w:sz="4" w:space="0"/>
              <w:insideH w:val="single" w:sz="4" w:space="0"/>
            </w:tcBorders>
          </w:tcPr>
          <w:p w14:paraId="6E28D7B2">
            <w:pPr>
              <w:spacing w:after="0" w:line="240" w:lineRule="auto"/>
              <w:jc w:val="center"/>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rtl/>
                <w14:ligatures w14:val="none"/>
              </w:rPr>
              <w:t>10.337</w:t>
            </w:r>
          </w:p>
        </w:tc>
        <w:tc>
          <w:tcPr>
            <w:tcW w:w="1557" w:type="dxa"/>
            <w:vMerge w:val="restart"/>
            <w:tcBorders>
              <w:top w:val="single" w:color="7E7E7E" w:themeColor="text1" w:themeTint="80" w:sz="4" w:space="0"/>
              <w:bottom w:val="single" w:color="7E7E7E" w:themeColor="text1" w:themeTint="80" w:sz="4" w:space="0"/>
              <w:insideH w:val="single" w:sz="4" w:space="0"/>
            </w:tcBorders>
          </w:tcPr>
          <w:p w14:paraId="2FE7BC1B">
            <w:pPr>
              <w:spacing w:after="0" w:line="240" w:lineRule="auto"/>
              <w:jc w:val="center"/>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rtl/>
                <w14:ligatures w14:val="none"/>
              </w:rPr>
              <w:t>0.00</w:t>
            </w:r>
          </w:p>
        </w:tc>
      </w:tr>
      <w:tr w14:paraId="4EF100E7">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1267" w:type="dxa"/>
            <w:vMerge w:val="continue"/>
          </w:tcPr>
          <w:p w14:paraId="64D82F15">
            <w:pPr>
              <w:bidi/>
              <w:spacing w:after="0" w:line="240" w:lineRule="auto"/>
              <w:jc w:val="lowKashida"/>
              <w:rPr>
                <w:rFonts w:eastAsia="Times New Roman" w:asciiTheme="majorBidi" w:hAnsiTheme="majorBidi" w:cstheme="majorBidi"/>
                <w:b w:val="0"/>
                <w:bCs w:val="0"/>
                <w:kern w:val="0"/>
                <w:sz w:val="20"/>
                <w:szCs w:val="20"/>
                <w:rtl/>
                <w14:ligatures w14:val="none"/>
              </w:rPr>
            </w:pPr>
          </w:p>
        </w:tc>
        <w:tc>
          <w:tcPr>
            <w:tcW w:w="1471" w:type="dxa"/>
            <w:vMerge w:val="continue"/>
          </w:tcPr>
          <w:p w14:paraId="549336E2">
            <w:pPr>
              <w:bidi/>
              <w:spacing w:after="0" w:line="240" w:lineRule="auto"/>
              <w:jc w:val="both"/>
              <w:rPr>
                <w:rFonts w:eastAsia="Times New Roman" w:asciiTheme="majorBidi" w:hAnsiTheme="majorBidi" w:cstheme="majorBidi"/>
                <w:kern w:val="0"/>
                <w:sz w:val="20"/>
                <w:szCs w:val="20"/>
                <w:rtl/>
                <w14:ligatures w14:val="none"/>
              </w:rPr>
            </w:pPr>
          </w:p>
        </w:tc>
        <w:tc>
          <w:tcPr>
            <w:tcW w:w="947" w:type="dxa"/>
          </w:tcPr>
          <w:p w14:paraId="2EAD586A">
            <w:pPr>
              <w:bidi/>
              <w:spacing w:after="0" w:line="240" w:lineRule="auto"/>
              <w:jc w:val="both"/>
              <w:rPr>
                <w:rFonts w:eastAsia="Times New Roman" w:asciiTheme="majorBidi" w:hAnsiTheme="majorBidi" w:cstheme="majorBidi"/>
                <w:kern w:val="0"/>
                <w:sz w:val="20"/>
                <w:szCs w:val="20"/>
                <w:rtl/>
                <w14:ligatures w14:val="none"/>
              </w:rPr>
            </w:pPr>
            <w:r>
              <w:rPr>
                <w:rFonts w:eastAsia="Times New Roman" w:asciiTheme="majorBidi" w:hAnsiTheme="majorBidi" w:cstheme="majorBidi"/>
                <w:kern w:val="0"/>
                <w:sz w:val="20"/>
                <w:szCs w:val="20"/>
                <w:rtl/>
                <w14:ligatures w14:val="none"/>
              </w:rPr>
              <w:t>لا</w:t>
            </w:r>
          </w:p>
        </w:tc>
        <w:tc>
          <w:tcPr>
            <w:tcW w:w="1697" w:type="dxa"/>
          </w:tcPr>
          <w:p w14:paraId="4B25ABF4">
            <w:pPr>
              <w:spacing w:after="0" w:line="240" w:lineRule="auto"/>
              <w:jc w:val="center"/>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rtl/>
                <w14:ligatures w14:val="none"/>
              </w:rPr>
              <w:t>2.02</w:t>
            </w:r>
          </w:p>
        </w:tc>
        <w:tc>
          <w:tcPr>
            <w:tcW w:w="1556" w:type="dxa"/>
          </w:tcPr>
          <w:p w14:paraId="7F429A7C">
            <w:pPr>
              <w:spacing w:after="0" w:line="240" w:lineRule="auto"/>
              <w:jc w:val="center"/>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rtl/>
                <w14:ligatures w14:val="none"/>
              </w:rPr>
              <w:t>0.30</w:t>
            </w:r>
          </w:p>
        </w:tc>
        <w:tc>
          <w:tcPr>
            <w:tcW w:w="865" w:type="dxa"/>
            <w:vMerge w:val="continue"/>
          </w:tcPr>
          <w:p w14:paraId="392D8800">
            <w:pPr>
              <w:spacing w:after="0" w:line="240" w:lineRule="auto"/>
              <w:jc w:val="center"/>
              <w:rPr>
                <w:rFonts w:eastAsia="Times New Roman" w:asciiTheme="majorBidi" w:hAnsiTheme="majorBidi" w:cstheme="majorBidi"/>
                <w:kern w:val="0"/>
                <w:sz w:val="20"/>
                <w:szCs w:val="20"/>
                <w14:ligatures w14:val="none"/>
              </w:rPr>
            </w:pPr>
          </w:p>
        </w:tc>
        <w:tc>
          <w:tcPr>
            <w:tcW w:w="1557" w:type="dxa"/>
            <w:vMerge w:val="continue"/>
          </w:tcPr>
          <w:p w14:paraId="22C732B5">
            <w:pPr>
              <w:spacing w:after="0" w:line="240" w:lineRule="auto"/>
              <w:jc w:val="center"/>
              <w:rPr>
                <w:rFonts w:eastAsia="Times New Roman" w:asciiTheme="majorBidi" w:hAnsiTheme="majorBidi" w:cstheme="majorBidi"/>
                <w:kern w:val="0"/>
                <w:sz w:val="20"/>
                <w:szCs w:val="20"/>
                <w14:ligatures w14:val="none"/>
              </w:rPr>
            </w:pPr>
          </w:p>
        </w:tc>
      </w:tr>
      <w:tr w14:paraId="482FA1FE">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1267" w:type="dxa"/>
            <w:vMerge w:val="continue"/>
            <w:tcBorders>
              <w:top w:val="single" w:color="7E7E7E" w:themeColor="text1" w:themeTint="80" w:sz="4" w:space="0"/>
              <w:bottom w:val="single" w:color="7E7E7E" w:themeColor="text1" w:themeTint="80" w:sz="4" w:space="0"/>
              <w:insideH w:val="single" w:sz="4" w:space="0"/>
            </w:tcBorders>
          </w:tcPr>
          <w:p w14:paraId="0EBC6BC6">
            <w:pPr>
              <w:bidi/>
              <w:spacing w:after="0" w:line="240" w:lineRule="auto"/>
              <w:jc w:val="lowKashida"/>
              <w:rPr>
                <w:rFonts w:eastAsia="Times New Roman" w:asciiTheme="majorBidi" w:hAnsiTheme="majorBidi" w:cstheme="majorBidi"/>
                <w:b w:val="0"/>
                <w:bCs w:val="0"/>
                <w:kern w:val="0"/>
                <w:sz w:val="20"/>
                <w:szCs w:val="20"/>
                <w:rtl/>
                <w14:ligatures w14:val="none"/>
              </w:rPr>
            </w:pPr>
          </w:p>
        </w:tc>
        <w:tc>
          <w:tcPr>
            <w:tcW w:w="1471" w:type="dxa"/>
            <w:vMerge w:val="restart"/>
            <w:tcBorders>
              <w:top w:val="single" w:color="7E7E7E" w:themeColor="text1" w:themeTint="80" w:sz="4" w:space="0"/>
              <w:bottom w:val="single" w:color="7E7E7E" w:themeColor="text1" w:themeTint="80" w:sz="4" w:space="0"/>
              <w:insideH w:val="single" w:sz="4" w:space="0"/>
            </w:tcBorders>
          </w:tcPr>
          <w:p w14:paraId="6D7F33D7">
            <w:pPr>
              <w:bidi/>
              <w:spacing w:after="0" w:line="240" w:lineRule="auto"/>
              <w:jc w:val="both"/>
              <w:rPr>
                <w:rFonts w:eastAsia="Times New Roman" w:asciiTheme="majorBidi" w:hAnsiTheme="majorBidi" w:cstheme="majorBidi"/>
                <w:kern w:val="0"/>
                <w:sz w:val="20"/>
                <w:szCs w:val="20"/>
                <w:rtl/>
                <w14:ligatures w14:val="none"/>
              </w:rPr>
            </w:pPr>
            <w:r>
              <w:rPr>
                <w:rFonts w:eastAsia="Times New Roman" w:asciiTheme="majorBidi" w:hAnsiTheme="majorBidi" w:cstheme="majorBidi"/>
                <w:kern w:val="0"/>
                <w:sz w:val="20"/>
                <w:szCs w:val="20"/>
                <w:rtl/>
                <w14:ligatures w14:val="none"/>
              </w:rPr>
              <w:t>التدريب السابق</w:t>
            </w:r>
          </w:p>
        </w:tc>
        <w:tc>
          <w:tcPr>
            <w:tcW w:w="947" w:type="dxa"/>
            <w:tcBorders>
              <w:top w:val="single" w:color="7E7E7E" w:themeColor="text1" w:themeTint="80" w:sz="4" w:space="0"/>
              <w:bottom w:val="single" w:color="7E7E7E" w:themeColor="text1" w:themeTint="80" w:sz="4" w:space="0"/>
              <w:insideH w:val="single" w:sz="4" w:space="0"/>
            </w:tcBorders>
          </w:tcPr>
          <w:p w14:paraId="43F49FB0">
            <w:pPr>
              <w:bidi/>
              <w:spacing w:after="0" w:line="240" w:lineRule="auto"/>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rtl/>
                <w14:ligatures w14:val="none"/>
              </w:rPr>
              <w:t xml:space="preserve">نعم </w:t>
            </w:r>
          </w:p>
        </w:tc>
        <w:tc>
          <w:tcPr>
            <w:tcW w:w="1697" w:type="dxa"/>
            <w:tcBorders>
              <w:top w:val="single" w:color="7E7E7E" w:themeColor="text1" w:themeTint="80" w:sz="4" w:space="0"/>
              <w:bottom w:val="single" w:color="7E7E7E" w:themeColor="text1" w:themeTint="80" w:sz="4" w:space="0"/>
              <w:insideH w:val="single" w:sz="4" w:space="0"/>
            </w:tcBorders>
          </w:tcPr>
          <w:p w14:paraId="1A9F0206">
            <w:pPr>
              <w:spacing w:after="0" w:line="240" w:lineRule="auto"/>
              <w:jc w:val="center"/>
              <w:rPr>
                <w:rFonts w:eastAsia="Times New Roman" w:asciiTheme="majorBidi" w:hAnsiTheme="majorBidi" w:cstheme="majorBidi"/>
                <w:kern w:val="0"/>
                <w:sz w:val="20"/>
                <w:szCs w:val="20"/>
                <w:rtl/>
                <w14:ligatures w14:val="none"/>
              </w:rPr>
            </w:pPr>
            <w:r>
              <w:rPr>
                <w:rFonts w:eastAsia="Times New Roman" w:asciiTheme="majorBidi" w:hAnsiTheme="majorBidi" w:cstheme="majorBidi"/>
                <w:kern w:val="0"/>
                <w:sz w:val="20"/>
                <w:szCs w:val="20"/>
                <w:rtl/>
                <w14:ligatures w14:val="none"/>
              </w:rPr>
              <w:t>2.33</w:t>
            </w:r>
          </w:p>
        </w:tc>
        <w:tc>
          <w:tcPr>
            <w:tcW w:w="1556" w:type="dxa"/>
            <w:tcBorders>
              <w:top w:val="single" w:color="7E7E7E" w:themeColor="text1" w:themeTint="80" w:sz="4" w:space="0"/>
              <w:bottom w:val="single" w:color="7E7E7E" w:themeColor="text1" w:themeTint="80" w:sz="4" w:space="0"/>
              <w:insideH w:val="single" w:sz="4" w:space="0"/>
            </w:tcBorders>
          </w:tcPr>
          <w:p w14:paraId="611D66E9">
            <w:pPr>
              <w:spacing w:after="0" w:line="240" w:lineRule="auto"/>
              <w:jc w:val="center"/>
              <w:rPr>
                <w:rFonts w:eastAsia="Times New Roman" w:asciiTheme="majorBidi" w:hAnsiTheme="majorBidi" w:cstheme="majorBidi"/>
                <w:kern w:val="0"/>
                <w:sz w:val="20"/>
                <w:szCs w:val="20"/>
                <w:rtl/>
                <w14:ligatures w14:val="none"/>
              </w:rPr>
            </w:pPr>
            <w:r>
              <w:rPr>
                <w:rFonts w:eastAsia="Times New Roman" w:asciiTheme="majorBidi" w:hAnsiTheme="majorBidi" w:cstheme="majorBidi"/>
                <w:kern w:val="0"/>
                <w:sz w:val="20"/>
                <w:szCs w:val="20"/>
                <w:rtl/>
                <w14:ligatures w14:val="none"/>
              </w:rPr>
              <w:t>0.41</w:t>
            </w:r>
          </w:p>
        </w:tc>
        <w:tc>
          <w:tcPr>
            <w:tcW w:w="865" w:type="dxa"/>
            <w:vMerge w:val="restart"/>
            <w:tcBorders>
              <w:top w:val="single" w:color="7E7E7E" w:themeColor="text1" w:themeTint="80" w:sz="4" w:space="0"/>
              <w:bottom w:val="single" w:color="7E7E7E" w:themeColor="text1" w:themeTint="80" w:sz="4" w:space="0"/>
              <w:insideH w:val="single" w:sz="4" w:space="0"/>
            </w:tcBorders>
          </w:tcPr>
          <w:p w14:paraId="4001E477">
            <w:pPr>
              <w:spacing w:after="0" w:line="240" w:lineRule="auto"/>
              <w:jc w:val="center"/>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rtl/>
                <w14:ligatures w14:val="none"/>
              </w:rPr>
              <w:t>6.199</w:t>
            </w:r>
          </w:p>
        </w:tc>
        <w:tc>
          <w:tcPr>
            <w:tcW w:w="1557" w:type="dxa"/>
            <w:vMerge w:val="restart"/>
            <w:tcBorders>
              <w:top w:val="single" w:color="7E7E7E" w:themeColor="text1" w:themeTint="80" w:sz="4" w:space="0"/>
              <w:bottom w:val="single" w:color="7E7E7E" w:themeColor="text1" w:themeTint="80" w:sz="4" w:space="0"/>
              <w:insideH w:val="single" w:sz="4" w:space="0"/>
            </w:tcBorders>
          </w:tcPr>
          <w:p w14:paraId="23A691AF">
            <w:pPr>
              <w:spacing w:after="0" w:line="240" w:lineRule="auto"/>
              <w:jc w:val="center"/>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rtl/>
                <w14:ligatures w14:val="none"/>
              </w:rPr>
              <w:t>0.00</w:t>
            </w:r>
          </w:p>
        </w:tc>
      </w:tr>
      <w:tr w14:paraId="18BC5D50">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1267" w:type="dxa"/>
            <w:vMerge w:val="continue"/>
          </w:tcPr>
          <w:p w14:paraId="666668AF">
            <w:pPr>
              <w:bidi/>
              <w:spacing w:after="0" w:line="240" w:lineRule="auto"/>
              <w:jc w:val="lowKashida"/>
              <w:rPr>
                <w:rFonts w:eastAsia="Times New Roman" w:asciiTheme="majorBidi" w:hAnsiTheme="majorBidi" w:cstheme="majorBidi"/>
                <w:b w:val="0"/>
                <w:bCs w:val="0"/>
                <w:kern w:val="0"/>
                <w:sz w:val="20"/>
                <w:szCs w:val="20"/>
                <w:rtl/>
                <w14:ligatures w14:val="none"/>
              </w:rPr>
            </w:pPr>
          </w:p>
        </w:tc>
        <w:tc>
          <w:tcPr>
            <w:tcW w:w="1471" w:type="dxa"/>
            <w:vMerge w:val="continue"/>
          </w:tcPr>
          <w:p w14:paraId="01CAF27F">
            <w:pPr>
              <w:bidi/>
              <w:spacing w:after="0" w:line="240" w:lineRule="auto"/>
              <w:jc w:val="both"/>
              <w:rPr>
                <w:rFonts w:eastAsia="Times New Roman" w:asciiTheme="majorBidi" w:hAnsiTheme="majorBidi" w:cstheme="majorBidi"/>
                <w:kern w:val="0"/>
                <w:sz w:val="20"/>
                <w:szCs w:val="20"/>
                <w:rtl/>
                <w14:ligatures w14:val="none"/>
              </w:rPr>
            </w:pPr>
          </w:p>
        </w:tc>
        <w:tc>
          <w:tcPr>
            <w:tcW w:w="947" w:type="dxa"/>
          </w:tcPr>
          <w:p w14:paraId="61C59B58">
            <w:pPr>
              <w:bidi/>
              <w:spacing w:after="0" w:line="240" w:lineRule="auto"/>
              <w:rPr>
                <w:rFonts w:eastAsia="Times New Roman" w:asciiTheme="majorBidi" w:hAnsiTheme="majorBidi" w:cstheme="majorBidi"/>
                <w:kern w:val="0"/>
                <w:sz w:val="20"/>
                <w:szCs w:val="20"/>
                <w:rtl/>
                <w14:ligatures w14:val="none"/>
              </w:rPr>
            </w:pPr>
            <w:r>
              <w:rPr>
                <w:rFonts w:eastAsia="Times New Roman" w:asciiTheme="majorBidi" w:hAnsiTheme="majorBidi" w:cstheme="majorBidi"/>
                <w:kern w:val="0"/>
                <w:sz w:val="20"/>
                <w:szCs w:val="20"/>
                <w:rtl/>
                <w14:ligatures w14:val="none"/>
              </w:rPr>
              <w:t>لا</w:t>
            </w:r>
          </w:p>
        </w:tc>
        <w:tc>
          <w:tcPr>
            <w:tcW w:w="1697" w:type="dxa"/>
          </w:tcPr>
          <w:p w14:paraId="74E57B6D">
            <w:pPr>
              <w:spacing w:after="0" w:line="240" w:lineRule="auto"/>
              <w:jc w:val="center"/>
              <w:rPr>
                <w:rFonts w:eastAsia="Times New Roman" w:asciiTheme="majorBidi" w:hAnsiTheme="majorBidi" w:cstheme="majorBidi"/>
                <w:kern w:val="0"/>
                <w:sz w:val="20"/>
                <w:szCs w:val="20"/>
                <w:rtl/>
                <w14:ligatures w14:val="none"/>
              </w:rPr>
            </w:pPr>
            <w:r>
              <w:rPr>
                <w:rFonts w:eastAsia="Times New Roman" w:asciiTheme="majorBidi" w:hAnsiTheme="majorBidi" w:cstheme="majorBidi"/>
                <w:kern w:val="0"/>
                <w:sz w:val="20"/>
                <w:szCs w:val="20"/>
                <w:rtl/>
                <w14:ligatures w14:val="none"/>
              </w:rPr>
              <w:t>2.08</w:t>
            </w:r>
          </w:p>
        </w:tc>
        <w:tc>
          <w:tcPr>
            <w:tcW w:w="1556" w:type="dxa"/>
          </w:tcPr>
          <w:p w14:paraId="22BCEA21">
            <w:pPr>
              <w:spacing w:after="0" w:line="240" w:lineRule="auto"/>
              <w:jc w:val="center"/>
              <w:rPr>
                <w:rFonts w:eastAsia="Times New Roman" w:asciiTheme="majorBidi" w:hAnsiTheme="majorBidi" w:cstheme="majorBidi"/>
                <w:kern w:val="0"/>
                <w:sz w:val="20"/>
                <w:szCs w:val="20"/>
                <w:rtl/>
                <w14:ligatures w14:val="none"/>
              </w:rPr>
            </w:pPr>
            <w:r>
              <w:rPr>
                <w:rFonts w:eastAsia="Times New Roman" w:asciiTheme="majorBidi" w:hAnsiTheme="majorBidi" w:cstheme="majorBidi"/>
                <w:kern w:val="0"/>
                <w:sz w:val="20"/>
                <w:szCs w:val="20"/>
                <w:rtl/>
                <w14:ligatures w14:val="none"/>
              </w:rPr>
              <w:t>0.27</w:t>
            </w:r>
          </w:p>
        </w:tc>
        <w:tc>
          <w:tcPr>
            <w:tcW w:w="865" w:type="dxa"/>
            <w:vMerge w:val="continue"/>
          </w:tcPr>
          <w:p w14:paraId="446EAC42">
            <w:pPr>
              <w:spacing w:after="0" w:line="240" w:lineRule="auto"/>
              <w:jc w:val="center"/>
              <w:rPr>
                <w:rFonts w:eastAsia="Times New Roman" w:asciiTheme="majorBidi" w:hAnsiTheme="majorBidi" w:cstheme="majorBidi"/>
                <w:kern w:val="0"/>
                <w:sz w:val="20"/>
                <w:szCs w:val="20"/>
                <w14:ligatures w14:val="none"/>
              </w:rPr>
            </w:pPr>
          </w:p>
        </w:tc>
        <w:tc>
          <w:tcPr>
            <w:tcW w:w="1557" w:type="dxa"/>
            <w:vMerge w:val="continue"/>
          </w:tcPr>
          <w:p w14:paraId="64D349A0">
            <w:pPr>
              <w:spacing w:after="0" w:line="240" w:lineRule="auto"/>
              <w:jc w:val="center"/>
              <w:rPr>
                <w:rFonts w:eastAsia="Times New Roman" w:asciiTheme="majorBidi" w:hAnsiTheme="majorBidi" w:cstheme="majorBidi"/>
                <w:kern w:val="0"/>
                <w:sz w:val="20"/>
                <w:szCs w:val="20"/>
                <w14:ligatures w14:val="none"/>
              </w:rPr>
            </w:pPr>
          </w:p>
        </w:tc>
      </w:tr>
      <w:tr w14:paraId="50BBDEC7">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1267" w:type="dxa"/>
            <w:vMerge w:val="restart"/>
            <w:tcBorders>
              <w:top w:val="single" w:color="7E7E7E" w:themeColor="text1" w:themeTint="80" w:sz="4" w:space="0"/>
              <w:bottom w:val="single" w:color="7E7E7E" w:themeColor="text1" w:themeTint="80" w:sz="4" w:space="0"/>
              <w:insideH w:val="single" w:sz="4" w:space="0"/>
            </w:tcBorders>
          </w:tcPr>
          <w:p w14:paraId="0D5485E8">
            <w:pPr>
              <w:bidi/>
              <w:spacing w:after="0" w:line="240" w:lineRule="auto"/>
              <w:jc w:val="lowKashida"/>
              <w:rPr>
                <w:rFonts w:eastAsia="Times New Roman" w:asciiTheme="majorBidi" w:hAnsiTheme="majorBidi" w:cstheme="majorBidi"/>
                <w:b w:val="0"/>
                <w:bCs w:val="0"/>
                <w:kern w:val="0"/>
                <w:sz w:val="20"/>
                <w:szCs w:val="20"/>
                <w:rtl/>
                <w14:ligatures w14:val="none"/>
              </w:rPr>
            </w:pPr>
            <w:r>
              <w:rPr>
                <w:rFonts w:eastAsia="Times New Roman" w:asciiTheme="majorBidi" w:hAnsiTheme="majorBidi" w:cstheme="majorBidi"/>
                <w:b w:val="0"/>
                <w:bCs w:val="0"/>
                <w:kern w:val="0"/>
                <w:sz w:val="20"/>
                <w:szCs w:val="20"/>
                <w:rtl/>
                <w14:ligatures w14:val="none"/>
              </w:rPr>
              <w:t>الوصمة الاجتماعية</w:t>
            </w:r>
          </w:p>
        </w:tc>
        <w:tc>
          <w:tcPr>
            <w:tcW w:w="1471" w:type="dxa"/>
            <w:vMerge w:val="restart"/>
            <w:tcBorders>
              <w:top w:val="single" w:color="7E7E7E" w:themeColor="text1" w:themeTint="80" w:sz="4" w:space="0"/>
              <w:bottom w:val="single" w:color="7E7E7E" w:themeColor="text1" w:themeTint="80" w:sz="4" w:space="0"/>
              <w:insideH w:val="single" w:sz="4" w:space="0"/>
            </w:tcBorders>
          </w:tcPr>
          <w:p w14:paraId="7EA1BF76">
            <w:pPr>
              <w:bidi/>
              <w:spacing w:after="0" w:line="240" w:lineRule="auto"/>
              <w:jc w:val="both"/>
              <w:rPr>
                <w:rFonts w:eastAsia="Times New Roman" w:asciiTheme="majorBidi" w:hAnsiTheme="majorBidi" w:cstheme="majorBidi"/>
                <w:kern w:val="0"/>
                <w:sz w:val="20"/>
                <w:szCs w:val="20"/>
                <w:rtl/>
                <w14:ligatures w14:val="none"/>
              </w:rPr>
            </w:pPr>
            <w:r>
              <w:rPr>
                <w:rFonts w:eastAsia="Times New Roman" w:asciiTheme="majorBidi" w:hAnsiTheme="majorBidi" w:cstheme="majorBidi"/>
                <w:kern w:val="0"/>
                <w:sz w:val="20"/>
                <w:szCs w:val="20"/>
                <w:rtl/>
                <w14:ligatures w14:val="none"/>
              </w:rPr>
              <w:t>وجود خبرة سابقة</w:t>
            </w:r>
          </w:p>
        </w:tc>
        <w:tc>
          <w:tcPr>
            <w:tcW w:w="947" w:type="dxa"/>
            <w:tcBorders>
              <w:top w:val="single" w:color="7E7E7E" w:themeColor="text1" w:themeTint="80" w:sz="4" w:space="0"/>
              <w:bottom w:val="single" w:color="7E7E7E" w:themeColor="text1" w:themeTint="80" w:sz="4" w:space="0"/>
              <w:insideH w:val="single" w:sz="4" w:space="0"/>
            </w:tcBorders>
          </w:tcPr>
          <w:p w14:paraId="1E3B1C30">
            <w:pPr>
              <w:bidi/>
              <w:spacing w:after="0" w:line="240" w:lineRule="auto"/>
              <w:jc w:val="both"/>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rtl/>
                <w14:ligatures w14:val="none"/>
              </w:rPr>
              <w:t xml:space="preserve">نعم </w:t>
            </w:r>
          </w:p>
        </w:tc>
        <w:tc>
          <w:tcPr>
            <w:tcW w:w="1697" w:type="dxa"/>
            <w:tcBorders>
              <w:top w:val="single" w:color="7E7E7E" w:themeColor="text1" w:themeTint="80" w:sz="4" w:space="0"/>
              <w:bottom w:val="single" w:color="7E7E7E" w:themeColor="text1" w:themeTint="80" w:sz="4" w:space="0"/>
              <w:insideH w:val="single" w:sz="4" w:space="0"/>
            </w:tcBorders>
          </w:tcPr>
          <w:p w14:paraId="5CB51CE6">
            <w:pPr>
              <w:spacing w:after="0" w:line="240" w:lineRule="auto"/>
              <w:jc w:val="center"/>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rtl/>
                <w14:ligatures w14:val="none"/>
              </w:rPr>
              <w:t>2.49</w:t>
            </w:r>
          </w:p>
        </w:tc>
        <w:tc>
          <w:tcPr>
            <w:tcW w:w="1556" w:type="dxa"/>
            <w:tcBorders>
              <w:top w:val="single" w:color="7E7E7E" w:themeColor="text1" w:themeTint="80" w:sz="4" w:space="0"/>
              <w:bottom w:val="single" w:color="7E7E7E" w:themeColor="text1" w:themeTint="80" w:sz="4" w:space="0"/>
              <w:insideH w:val="single" w:sz="4" w:space="0"/>
            </w:tcBorders>
          </w:tcPr>
          <w:p w14:paraId="2B229DFD">
            <w:pPr>
              <w:spacing w:after="0" w:line="240" w:lineRule="auto"/>
              <w:jc w:val="center"/>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rtl/>
                <w14:ligatures w14:val="none"/>
              </w:rPr>
              <w:t>0.28</w:t>
            </w:r>
          </w:p>
        </w:tc>
        <w:tc>
          <w:tcPr>
            <w:tcW w:w="865" w:type="dxa"/>
            <w:vMerge w:val="restart"/>
            <w:tcBorders>
              <w:top w:val="single" w:color="7E7E7E" w:themeColor="text1" w:themeTint="80" w:sz="4" w:space="0"/>
              <w:bottom w:val="single" w:color="7E7E7E" w:themeColor="text1" w:themeTint="80" w:sz="4" w:space="0"/>
              <w:insideH w:val="single" w:sz="4" w:space="0"/>
            </w:tcBorders>
          </w:tcPr>
          <w:p w14:paraId="6A13C51B">
            <w:pPr>
              <w:spacing w:after="0" w:line="240" w:lineRule="auto"/>
              <w:jc w:val="center"/>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rtl/>
                <w14:ligatures w14:val="none"/>
              </w:rPr>
              <w:t>2.685</w:t>
            </w:r>
          </w:p>
        </w:tc>
        <w:tc>
          <w:tcPr>
            <w:tcW w:w="1557" w:type="dxa"/>
            <w:vMerge w:val="restart"/>
            <w:tcBorders>
              <w:top w:val="single" w:color="7E7E7E" w:themeColor="text1" w:themeTint="80" w:sz="4" w:space="0"/>
              <w:bottom w:val="single" w:color="7E7E7E" w:themeColor="text1" w:themeTint="80" w:sz="4" w:space="0"/>
              <w:insideH w:val="single" w:sz="4" w:space="0"/>
            </w:tcBorders>
          </w:tcPr>
          <w:p w14:paraId="137D809E">
            <w:pPr>
              <w:spacing w:after="0" w:line="240" w:lineRule="auto"/>
              <w:jc w:val="center"/>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rtl/>
                <w14:ligatures w14:val="none"/>
              </w:rPr>
              <w:t>0.008</w:t>
            </w:r>
          </w:p>
        </w:tc>
      </w:tr>
      <w:tr w14:paraId="3A33E2BE">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1267" w:type="dxa"/>
            <w:vMerge w:val="continue"/>
          </w:tcPr>
          <w:p w14:paraId="525E46AB">
            <w:pPr>
              <w:bidi/>
              <w:spacing w:after="0" w:line="240" w:lineRule="auto"/>
              <w:jc w:val="lowKashida"/>
              <w:rPr>
                <w:rFonts w:eastAsia="Times New Roman" w:asciiTheme="majorBidi" w:hAnsiTheme="majorBidi" w:cstheme="majorBidi"/>
                <w:b w:val="0"/>
                <w:bCs w:val="0"/>
                <w:kern w:val="0"/>
                <w:sz w:val="20"/>
                <w:szCs w:val="20"/>
                <w:rtl/>
                <w14:ligatures w14:val="none"/>
              </w:rPr>
            </w:pPr>
          </w:p>
        </w:tc>
        <w:tc>
          <w:tcPr>
            <w:tcW w:w="1471" w:type="dxa"/>
            <w:vMerge w:val="continue"/>
          </w:tcPr>
          <w:p w14:paraId="05C9E7D0">
            <w:pPr>
              <w:bidi/>
              <w:spacing w:after="0" w:line="240" w:lineRule="auto"/>
              <w:jc w:val="both"/>
              <w:rPr>
                <w:rFonts w:eastAsia="Times New Roman" w:asciiTheme="majorBidi" w:hAnsiTheme="majorBidi" w:cstheme="majorBidi"/>
                <w:kern w:val="0"/>
                <w:sz w:val="20"/>
                <w:szCs w:val="20"/>
                <w:rtl/>
                <w14:ligatures w14:val="none"/>
              </w:rPr>
            </w:pPr>
          </w:p>
        </w:tc>
        <w:tc>
          <w:tcPr>
            <w:tcW w:w="947" w:type="dxa"/>
          </w:tcPr>
          <w:p w14:paraId="2DCEDA4D">
            <w:pPr>
              <w:bidi/>
              <w:spacing w:after="0" w:line="240" w:lineRule="auto"/>
              <w:jc w:val="both"/>
              <w:rPr>
                <w:rFonts w:eastAsia="Times New Roman" w:asciiTheme="majorBidi" w:hAnsiTheme="majorBidi" w:cstheme="majorBidi"/>
                <w:kern w:val="0"/>
                <w:sz w:val="20"/>
                <w:szCs w:val="20"/>
                <w:rtl/>
                <w14:ligatures w14:val="none"/>
              </w:rPr>
            </w:pPr>
            <w:r>
              <w:rPr>
                <w:rFonts w:eastAsia="Times New Roman" w:asciiTheme="majorBidi" w:hAnsiTheme="majorBidi" w:cstheme="majorBidi"/>
                <w:kern w:val="0"/>
                <w:sz w:val="20"/>
                <w:szCs w:val="20"/>
                <w:rtl/>
                <w14:ligatures w14:val="none"/>
              </w:rPr>
              <w:t>لا</w:t>
            </w:r>
          </w:p>
        </w:tc>
        <w:tc>
          <w:tcPr>
            <w:tcW w:w="1697" w:type="dxa"/>
          </w:tcPr>
          <w:p w14:paraId="7399773D">
            <w:pPr>
              <w:spacing w:after="0" w:line="240" w:lineRule="auto"/>
              <w:jc w:val="center"/>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rtl/>
                <w14:ligatures w14:val="none"/>
              </w:rPr>
              <w:t>2.41</w:t>
            </w:r>
          </w:p>
        </w:tc>
        <w:tc>
          <w:tcPr>
            <w:tcW w:w="1556" w:type="dxa"/>
          </w:tcPr>
          <w:p w14:paraId="618052FF">
            <w:pPr>
              <w:spacing w:after="0" w:line="240" w:lineRule="auto"/>
              <w:jc w:val="center"/>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rtl/>
                <w14:ligatures w14:val="none"/>
              </w:rPr>
              <w:t>0.27</w:t>
            </w:r>
          </w:p>
        </w:tc>
        <w:tc>
          <w:tcPr>
            <w:tcW w:w="865" w:type="dxa"/>
            <w:vMerge w:val="continue"/>
          </w:tcPr>
          <w:p w14:paraId="12FCF9F3">
            <w:pPr>
              <w:spacing w:after="0" w:line="240" w:lineRule="auto"/>
              <w:jc w:val="center"/>
              <w:rPr>
                <w:rFonts w:eastAsia="Times New Roman" w:asciiTheme="majorBidi" w:hAnsiTheme="majorBidi" w:cstheme="majorBidi"/>
                <w:kern w:val="0"/>
                <w:sz w:val="20"/>
                <w:szCs w:val="20"/>
                <w14:ligatures w14:val="none"/>
              </w:rPr>
            </w:pPr>
          </w:p>
        </w:tc>
        <w:tc>
          <w:tcPr>
            <w:tcW w:w="1557" w:type="dxa"/>
            <w:vMerge w:val="continue"/>
          </w:tcPr>
          <w:p w14:paraId="0E0D95AE">
            <w:pPr>
              <w:spacing w:after="0" w:line="240" w:lineRule="auto"/>
              <w:jc w:val="center"/>
              <w:rPr>
                <w:rFonts w:eastAsia="Times New Roman" w:asciiTheme="majorBidi" w:hAnsiTheme="majorBidi" w:cstheme="majorBidi"/>
                <w:kern w:val="0"/>
                <w:sz w:val="20"/>
                <w:szCs w:val="20"/>
                <w14:ligatures w14:val="none"/>
              </w:rPr>
            </w:pPr>
          </w:p>
        </w:tc>
      </w:tr>
      <w:tr w14:paraId="30CEFE70">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1267" w:type="dxa"/>
            <w:vMerge w:val="continue"/>
            <w:tcBorders>
              <w:top w:val="single" w:color="7E7E7E" w:themeColor="text1" w:themeTint="80" w:sz="4" w:space="0"/>
              <w:bottom w:val="single" w:color="7E7E7E" w:themeColor="text1" w:themeTint="80" w:sz="4" w:space="0"/>
              <w:insideH w:val="single" w:sz="4" w:space="0"/>
            </w:tcBorders>
          </w:tcPr>
          <w:p w14:paraId="738E6524">
            <w:pPr>
              <w:bidi/>
              <w:spacing w:after="0" w:line="240" w:lineRule="auto"/>
              <w:jc w:val="lowKashida"/>
              <w:rPr>
                <w:rFonts w:eastAsia="Times New Roman" w:asciiTheme="majorBidi" w:hAnsiTheme="majorBidi" w:cstheme="majorBidi"/>
                <w:b w:val="0"/>
                <w:bCs w:val="0"/>
                <w:kern w:val="0"/>
                <w:sz w:val="20"/>
                <w:szCs w:val="20"/>
                <w:rtl/>
                <w14:ligatures w14:val="none"/>
              </w:rPr>
            </w:pPr>
          </w:p>
        </w:tc>
        <w:tc>
          <w:tcPr>
            <w:tcW w:w="1471" w:type="dxa"/>
            <w:vMerge w:val="restart"/>
            <w:tcBorders>
              <w:top w:val="single" w:color="7E7E7E" w:themeColor="text1" w:themeTint="80" w:sz="4" w:space="0"/>
              <w:bottom w:val="single" w:color="7E7E7E" w:themeColor="text1" w:themeTint="80" w:sz="4" w:space="0"/>
              <w:insideH w:val="single" w:sz="4" w:space="0"/>
            </w:tcBorders>
          </w:tcPr>
          <w:p w14:paraId="38CB1947">
            <w:pPr>
              <w:bidi/>
              <w:spacing w:after="0" w:line="240" w:lineRule="auto"/>
              <w:jc w:val="both"/>
              <w:rPr>
                <w:rFonts w:eastAsia="Times New Roman" w:asciiTheme="majorBidi" w:hAnsiTheme="majorBidi" w:cstheme="majorBidi"/>
                <w:kern w:val="0"/>
                <w:sz w:val="20"/>
                <w:szCs w:val="20"/>
                <w:rtl/>
                <w14:ligatures w14:val="none"/>
              </w:rPr>
            </w:pPr>
            <w:r>
              <w:rPr>
                <w:rFonts w:eastAsia="Times New Roman" w:asciiTheme="majorBidi" w:hAnsiTheme="majorBidi" w:cstheme="majorBidi"/>
                <w:kern w:val="0"/>
                <w:sz w:val="20"/>
                <w:szCs w:val="20"/>
                <w:rtl/>
                <w14:ligatures w14:val="none"/>
              </w:rPr>
              <w:t>التدريب السابق</w:t>
            </w:r>
          </w:p>
        </w:tc>
        <w:tc>
          <w:tcPr>
            <w:tcW w:w="947" w:type="dxa"/>
            <w:tcBorders>
              <w:top w:val="single" w:color="7E7E7E" w:themeColor="text1" w:themeTint="80" w:sz="4" w:space="0"/>
              <w:bottom w:val="single" w:color="7E7E7E" w:themeColor="text1" w:themeTint="80" w:sz="4" w:space="0"/>
              <w:insideH w:val="single" w:sz="4" w:space="0"/>
            </w:tcBorders>
          </w:tcPr>
          <w:p w14:paraId="629594BA">
            <w:pPr>
              <w:bidi/>
              <w:spacing w:after="0" w:line="240" w:lineRule="auto"/>
              <w:jc w:val="both"/>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rtl/>
                <w14:ligatures w14:val="none"/>
              </w:rPr>
              <w:t xml:space="preserve">نعم </w:t>
            </w:r>
          </w:p>
        </w:tc>
        <w:tc>
          <w:tcPr>
            <w:tcW w:w="1697" w:type="dxa"/>
            <w:tcBorders>
              <w:top w:val="single" w:color="7E7E7E" w:themeColor="text1" w:themeTint="80" w:sz="4" w:space="0"/>
              <w:bottom w:val="single" w:color="7E7E7E" w:themeColor="text1" w:themeTint="80" w:sz="4" w:space="0"/>
              <w:insideH w:val="single" w:sz="4" w:space="0"/>
            </w:tcBorders>
          </w:tcPr>
          <w:p w14:paraId="1F779EE8">
            <w:pPr>
              <w:spacing w:after="0" w:line="240" w:lineRule="auto"/>
              <w:jc w:val="center"/>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rtl/>
                <w14:ligatures w14:val="none"/>
              </w:rPr>
              <w:t>2.47</w:t>
            </w:r>
          </w:p>
        </w:tc>
        <w:tc>
          <w:tcPr>
            <w:tcW w:w="1556" w:type="dxa"/>
            <w:tcBorders>
              <w:top w:val="single" w:color="7E7E7E" w:themeColor="text1" w:themeTint="80" w:sz="4" w:space="0"/>
              <w:bottom w:val="single" w:color="7E7E7E" w:themeColor="text1" w:themeTint="80" w:sz="4" w:space="0"/>
              <w:insideH w:val="single" w:sz="4" w:space="0"/>
            </w:tcBorders>
          </w:tcPr>
          <w:p w14:paraId="4B17DD02">
            <w:pPr>
              <w:spacing w:after="0" w:line="240" w:lineRule="auto"/>
              <w:jc w:val="center"/>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rtl/>
                <w14:ligatures w14:val="none"/>
              </w:rPr>
              <w:t>0.36</w:t>
            </w:r>
          </w:p>
        </w:tc>
        <w:tc>
          <w:tcPr>
            <w:tcW w:w="865" w:type="dxa"/>
            <w:vMerge w:val="restart"/>
            <w:tcBorders>
              <w:top w:val="single" w:color="7E7E7E" w:themeColor="text1" w:themeTint="80" w:sz="4" w:space="0"/>
              <w:bottom w:val="single" w:color="7E7E7E" w:themeColor="text1" w:themeTint="80" w:sz="4" w:space="0"/>
              <w:insideH w:val="single" w:sz="4" w:space="0"/>
            </w:tcBorders>
          </w:tcPr>
          <w:p w14:paraId="6D866E70">
            <w:pPr>
              <w:spacing w:after="0" w:line="240" w:lineRule="auto"/>
              <w:jc w:val="center"/>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rtl/>
                <w14:ligatures w14:val="none"/>
              </w:rPr>
              <w:t>1.201</w:t>
            </w:r>
          </w:p>
        </w:tc>
        <w:tc>
          <w:tcPr>
            <w:tcW w:w="1557" w:type="dxa"/>
            <w:vMerge w:val="restart"/>
            <w:tcBorders>
              <w:top w:val="single" w:color="7E7E7E" w:themeColor="text1" w:themeTint="80" w:sz="4" w:space="0"/>
              <w:bottom w:val="single" w:color="7E7E7E" w:themeColor="text1" w:themeTint="80" w:sz="4" w:space="0"/>
              <w:insideH w:val="single" w:sz="4" w:space="0"/>
            </w:tcBorders>
          </w:tcPr>
          <w:p w14:paraId="5947C149">
            <w:pPr>
              <w:spacing w:after="0" w:line="240" w:lineRule="auto"/>
              <w:jc w:val="center"/>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rtl/>
                <w14:ligatures w14:val="none"/>
              </w:rPr>
              <w:t>0.231</w:t>
            </w:r>
          </w:p>
        </w:tc>
      </w:tr>
      <w:tr w14:paraId="72AD32CB">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1267" w:type="dxa"/>
            <w:vMerge w:val="continue"/>
          </w:tcPr>
          <w:p w14:paraId="1003DE44">
            <w:pPr>
              <w:bidi/>
              <w:spacing w:after="0" w:line="240" w:lineRule="auto"/>
              <w:jc w:val="lowKashida"/>
              <w:rPr>
                <w:rFonts w:eastAsia="Times New Roman" w:asciiTheme="majorBidi" w:hAnsiTheme="majorBidi" w:cstheme="majorBidi"/>
                <w:b w:val="0"/>
                <w:bCs w:val="0"/>
                <w:kern w:val="0"/>
                <w:sz w:val="20"/>
                <w:szCs w:val="20"/>
                <w:rtl/>
                <w14:ligatures w14:val="none"/>
              </w:rPr>
            </w:pPr>
          </w:p>
        </w:tc>
        <w:tc>
          <w:tcPr>
            <w:tcW w:w="1471" w:type="dxa"/>
            <w:vMerge w:val="continue"/>
          </w:tcPr>
          <w:p w14:paraId="7F72866E">
            <w:pPr>
              <w:bidi/>
              <w:spacing w:after="0" w:line="240" w:lineRule="auto"/>
              <w:jc w:val="both"/>
              <w:rPr>
                <w:rFonts w:eastAsia="Times New Roman" w:asciiTheme="majorBidi" w:hAnsiTheme="majorBidi" w:cstheme="majorBidi"/>
                <w:kern w:val="0"/>
                <w:sz w:val="20"/>
                <w:szCs w:val="20"/>
                <w:rtl/>
                <w14:ligatures w14:val="none"/>
              </w:rPr>
            </w:pPr>
          </w:p>
        </w:tc>
        <w:tc>
          <w:tcPr>
            <w:tcW w:w="947" w:type="dxa"/>
          </w:tcPr>
          <w:p w14:paraId="679C1ED9">
            <w:pPr>
              <w:bidi/>
              <w:spacing w:after="0" w:line="240" w:lineRule="auto"/>
              <w:jc w:val="both"/>
              <w:rPr>
                <w:rFonts w:eastAsia="Times New Roman" w:asciiTheme="majorBidi" w:hAnsiTheme="majorBidi" w:cstheme="majorBidi"/>
                <w:kern w:val="0"/>
                <w:sz w:val="20"/>
                <w:szCs w:val="20"/>
                <w:rtl/>
                <w14:ligatures w14:val="none"/>
              </w:rPr>
            </w:pPr>
            <w:r>
              <w:rPr>
                <w:rFonts w:eastAsia="Times New Roman" w:asciiTheme="majorBidi" w:hAnsiTheme="majorBidi" w:cstheme="majorBidi"/>
                <w:kern w:val="0"/>
                <w:sz w:val="20"/>
                <w:szCs w:val="20"/>
                <w:rtl/>
                <w14:ligatures w14:val="none"/>
              </w:rPr>
              <w:t>لا</w:t>
            </w:r>
          </w:p>
        </w:tc>
        <w:tc>
          <w:tcPr>
            <w:tcW w:w="1697" w:type="dxa"/>
          </w:tcPr>
          <w:p w14:paraId="6B585275">
            <w:pPr>
              <w:spacing w:after="0" w:line="240" w:lineRule="auto"/>
              <w:jc w:val="center"/>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rtl/>
                <w14:ligatures w14:val="none"/>
              </w:rPr>
              <w:t>2.43</w:t>
            </w:r>
          </w:p>
        </w:tc>
        <w:tc>
          <w:tcPr>
            <w:tcW w:w="1556" w:type="dxa"/>
          </w:tcPr>
          <w:p w14:paraId="3660345C">
            <w:pPr>
              <w:spacing w:after="0" w:line="240" w:lineRule="auto"/>
              <w:jc w:val="center"/>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rtl/>
                <w14:ligatures w14:val="none"/>
              </w:rPr>
              <w:t>0.25</w:t>
            </w:r>
          </w:p>
        </w:tc>
        <w:tc>
          <w:tcPr>
            <w:tcW w:w="865" w:type="dxa"/>
            <w:vMerge w:val="continue"/>
          </w:tcPr>
          <w:p w14:paraId="23C58FF4">
            <w:pPr>
              <w:spacing w:after="0" w:line="240" w:lineRule="auto"/>
              <w:jc w:val="center"/>
              <w:rPr>
                <w:rFonts w:eastAsia="Times New Roman" w:asciiTheme="majorBidi" w:hAnsiTheme="majorBidi" w:cstheme="majorBidi"/>
                <w:kern w:val="0"/>
                <w:sz w:val="20"/>
                <w:szCs w:val="20"/>
                <w14:ligatures w14:val="none"/>
              </w:rPr>
            </w:pPr>
          </w:p>
        </w:tc>
        <w:tc>
          <w:tcPr>
            <w:tcW w:w="1557" w:type="dxa"/>
            <w:vMerge w:val="continue"/>
          </w:tcPr>
          <w:p w14:paraId="6D305802">
            <w:pPr>
              <w:spacing w:after="0" w:line="240" w:lineRule="auto"/>
              <w:jc w:val="center"/>
              <w:rPr>
                <w:rFonts w:eastAsia="Times New Roman" w:asciiTheme="majorBidi" w:hAnsiTheme="majorBidi" w:cstheme="majorBidi"/>
                <w:kern w:val="0"/>
                <w:sz w:val="20"/>
                <w:szCs w:val="20"/>
                <w14:ligatures w14:val="none"/>
              </w:rPr>
            </w:pPr>
          </w:p>
        </w:tc>
      </w:tr>
    </w:tbl>
    <w:p w14:paraId="79828F80">
      <w:pPr>
        <w:bidi/>
        <w:spacing w:before="100" w:beforeAutospacing="1" w:after="100" w:afterAutospacing="1" w:line="360" w:lineRule="auto"/>
        <w:jc w:val="lowKashida"/>
        <w:rPr>
          <w:rFonts w:eastAsia="Times New Roman" w:asciiTheme="majorBidi" w:hAnsiTheme="majorBidi" w:cstheme="majorBidi"/>
          <w:kern w:val="0"/>
          <w:rtl/>
          <w14:ligatures w14:val="none"/>
        </w:rPr>
      </w:pPr>
      <w:r>
        <w:rPr>
          <w:rFonts w:eastAsia="Times New Roman" w:asciiTheme="majorBidi" w:hAnsiTheme="majorBidi" w:cstheme="majorBidi"/>
          <w:kern w:val="0"/>
          <w:rtl/>
          <w14:ligatures w14:val="none"/>
        </w:rPr>
        <w:t>تشير نتائج الجدول (8) إلى أن وجود خبرة سابقة في التعامل مع أشخاص يعانون من مشاكل نفسية يؤثر بشكل دال إحصائيًا على كل من الوعي بالمرض النفسي والوصمة الاجتماعية، فقد كان متوسط الوعي بالمرض النفسي أعلى لدى الأفراد ذوي الخبرة السابقة</w:t>
      </w:r>
      <w:r>
        <w:rPr>
          <w:rFonts w:eastAsia="Times New Roman" w:asciiTheme="majorBidi" w:hAnsiTheme="majorBidi" w:cstheme="majorBidi"/>
          <w:kern w:val="0"/>
          <w14:ligatures w14:val="none"/>
        </w:rPr>
        <w:t xml:space="preserve"> (M=2.33) </w:t>
      </w:r>
      <w:r>
        <w:rPr>
          <w:rFonts w:eastAsia="Times New Roman" w:asciiTheme="majorBidi" w:hAnsiTheme="majorBidi" w:cstheme="majorBidi"/>
          <w:kern w:val="0"/>
          <w:rtl/>
          <w14:ligatures w14:val="none"/>
        </w:rPr>
        <w:t>مقارنة بمن ليست لديهم خبرة</w:t>
      </w:r>
      <w:r>
        <w:rPr>
          <w:rFonts w:eastAsia="Times New Roman" w:asciiTheme="majorBidi" w:hAnsiTheme="majorBidi" w:cstheme="majorBidi"/>
          <w:kern w:val="0"/>
          <w14:ligatures w14:val="none"/>
        </w:rPr>
        <w:t xml:space="preserve"> M=2.02) </w:t>
      </w:r>
      <w:r>
        <w:rPr>
          <w:rFonts w:eastAsia="Times New Roman" w:asciiTheme="majorBidi" w:hAnsiTheme="majorBidi" w:cstheme="majorBidi"/>
          <w:kern w:val="0"/>
          <w:rtl/>
          <w14:ligatures w14:val="none"/>
        </w:rPr>
        <w:t>مع قيمة</w:t>
      </w:r>
      <w:r>
        <w:rPr>
          <w:rFonts w:eastAsia="Times New Roman" w:asciiTheme="majorBidi" w:hAnsiTheme="majorBidi" w:cstheme="majorBidi"/>
          <w:kern w:val="0"/>
          <w14:ligatures w14:val="none"/>
        </w:rPr>
        <w:t xml:space="preserve"> (T=10.337</w:t>
      </w:r>
      <w:r>
        <w:rPr>
          <w:rFonts w:eastAsia="Times New Roman" w:asciiTheme="majorBidi" w:hAnsiTheme="majorBidi" w:cstheme="majorBidi"/>
          <w:kern w:val="0"/>
          <w:rtl/>
          <w14:ligatures w14:val="none"/>
        </w:rPr>
        <w:t xml:space="preserve">، </w:t>
      </w:r>
      <w:r>
        <w:rPr>
          <w:rFonts w:eastAsia="Times New Roman" w:asciiTheme="majorBidi" w:hAnsiTheme="majorBidi" w:cstheme="majorBidi"/>
          <w:kern w:val="0"/>
          <w14:ligatures w14:val="none"/>
        </w:rPr>
        <w:t>p=0.00)</w:t>
      </w:r>
      <w:r>
        <w:rPr>
          <w:rFonts w:eastAsia="Times New Roman" w:asciiTheme="majorBidi" w:hAnsiTheme="majorBidi" w:cstheme="majorBidi"/>
          <w:kern w:val="0"/>
          <w:rtl/>
          <w14:ligatures w14:val="none"/>
        </w:rPr>
        <w:t>)، كما ارتفع متوسط الوصمة الاجتماعية لديهم</w:t>
      </w:r>
      <w:r>
        <w:rPr>
          <w:rFonts w:eastAsia="Times New Roman" w:asciiTheme="majorBidi" w:hAnsiTheme="majorBidi" w:cstheme="majorBidi"/>
          <w:kern w:val="0"/>
          <w14:ligatures w14:val="none"/>
        </w:rPr>
        <w:t xml:space="preserve"> (M=2.49) </w:t>
      </w:r>
      <w:r>
        <w:rPr>
          <w:rFonts w:eastAsia="Times New Roman" w:asciiTheme="majorBidi" w:hAnsiTheme="majorBidi" w:cstheme="majorBidi"/>
          <w:kern w:val="0"/>
          <w:rtl/>
          <w14:ligatures w14:val="none"/>
        </w:rPr>
        <w:t>مقابل</w:t>
      </w:r>
      <w:r>
        <w:rPr>
          <w:rFonts w:eastAsia="Times New Roman" w:asciiTheme="majorBidi" w:hAnsiTheme="majorBidi" w:cstheme="majorBidi"/>
          <w:kern w:val="0"/>
          <w14:ligatures w14:val="none"/>
        </w:rPr>
        <w:t xml:space="preserve"> (M=2.41) </w:t>
      </w:r>
      <w:r>
        <w:rPr>
          <w:rFonts w:eastAsia="Times New Roman" w:asciiTheme="majorBidi" w:hAnsiTheme="majorBidi" w:cstheme="majorBidi"/>
          <w:kern w:val="0"/>
          <w:rtl/>
          <w14:ligatures w14:val="none"/>
        </w:rPr>
        <w:t>للأشخاص غير ذوي الخبرة، مع قيمة(</w:t>
      </w:r>
      <w:r>
        <w:rPr>
          <w:rFonts w:eastAsia="Times New Roman" w:asciiTheme="majorBidi" w:hAnsiTheme="majorBidi" w:cstheme="majorBidi"/>
          <w:kern w:val="0"/>
          <w14:ligatures w14:val="none"/>
        </w:rPr>
        <w:t xml:space="preserve"> T=2.68</w:t>
      </w:r>
      <w:r>
        <w:rPr>
          <w:rFonts w:eastAsia="Times New Roman" w:asciiTheme="majorBidi" w:hAnsiTheme="majorBidi" w:cstheme="majorBidi"/>
          <w:kern w:val="0"/>
          <w:rtl/>
          <w14:ligatures w14:val="none"/>
        </w:rPr>
        <w:t xml:space="preserve">، </w:t>
      </w:r>
      <w:r>
        <w:rPr>
          <w:rFonts w:eastAsia="Times New Roman" w:asciiTheme="majorBidi" w:hAnsiTheme="majorBidi" w:cstheme="majorBidi"/>
          <w:kern w:val="0"/>
          <w14:ligatures w14:val="none"/>
        </w:rPr>
        <w:t>p=0.008</w:t>
      </w:r>
      <w:r>
        <w:rPr>
          <w:rFonts w:eastAsia="Times New Roman" w:asciiTheme="majorBidi" w:hAnsiTheme="majorBidi" w:cstheme="majorBidi"/>
          <w:kern w:val="0"/>
          <w:rtl/>
          <w14:ligatures w14:val="none"/>
        </w:rPr>
        <w:t>)</w:t>
      </w:r>
      <w:r>
        <w:rPr>
          <w:rFonts w:eastAsia="Times New Roman" w:asciiTheme="majorBidi" w:hAnsiTheme="majorBidi" w:cstheme="majorBidi"/>
          <w:kern w:val="0"/>
          <w14:ligatures w14:val="none"/>
        </w:rPr>
        <w:t xml:space="preserve"> </w:t>
      </w:r>
    </w:p>
    <w:p w14:paraId="20C82826">
      <w:pPr>
        <w:bidi/>
        <w:spacing w:before="100" w:beforeAutospacing="1" w:after="100" w:afterAutospacing="1" w:line="360" w:lineRule="auto"/>
        <w:jc w:val="lowKashida"/>
        <w:rPr>
          <w:rFonts w:eastAsia="Times New Roman" w:asciiTheme="majorBidi" w:hAnsiTheme="majorBidi" w:cstheme="majorBidi"/>
          <w:kern w:val="0"/>
          <w:rtl/>
          <w14:ligatures w14:val="none"/>
        </w:rPr>
      </w:pPr>
      <w:r>
        <w:rPr>
          <w:rFonts w:eastAsia="Times New Roman" w:asciiTheme="majorBidi" w:hAnsiTheme="majorBidi" w:cstheme="majorBidi"/>
          <w:kern w:val="0"/>
          <w:rtl/>
          <w14:ligatures w14:val="none"/>
        </w:rPr>
        <w:t>أما بالنسبة للتدريب السابق في مجال الصحة النفسية، فقد أظهرت النتائج وجود فرق دال إحصائيًا في الوعي بالمرض النفسي، حيث كان المتوسط أعلى لدى المتدربين</w:t>
      </w:r>
      <w:r>
        <w:rPr>
          <w:rFonts w:eastAsia="Times New Roman" w:asciiTheme="majorBidi" w:hAnsiTheme="majorBidi" w:cstheme="majorBidi"/>
          <w:kern w:val="0"/>
          <w14:ligatures w14:val="none"/>
        </w:rPr>
        <w:t xml:space="preserve"> (M=2.33) </w:t>
      </w:r>
      <w:r>
        <w:rPr>
          <w:rFonts w:eastAsia="Times New Roman" w:asciiTheme="majorBidi" w:hAnsiTheme="majorBidi" w:cstheme="majorBidi"/>
          <w:kern w:val="0"/>
          <w:rtl/>
          <w14:ligatures w14:val="none"/>
        </w:rPr>
        <w:t>مقارنة بغير المتدربين</w:t>
      </w:r>
      <w:r>
        <w:rPr>
          <w:rFonts w:eastAsia="Times New Roman" w:asciiTheme="majorBidi" w:hAnsiTheme="majorBidi" w:cstheme="majorBidi"/>
          <w:kern w:val="0"/>
          <w14:ligatures w14:val="none"/>
        </w:rPr>
        <w:t xml:space="preserve"> </w:t>
      </w:r>
      <w:r>
        <w:rPr>
          <w:rFonts w:eastAsia="Times New Roman" w:asciiTheme="majorBidi" w:hAnsiTheme="majorBidi" w:cstheme="majorBidi"/>
          <w:kern w:val="0"/>
          <w:rtl/>
          <w14:ligatures w14:val="none"/>
        </w:rPr>
        <w:t>(</w:t>
      </w:r>
      <w:r>
        <w:rPr>
          <w:rFonts w:eastAsia="Times New Roman" w:asciiTheme="majorBidi" w:hAnsiTheme="majorBidi" w:cstheme="majorBidi"/>
          <w:kern w:val="0"/>
          <w14:ligatures w14:val="none"/>
        </w:rPr>
        <w:t>(M=2.08</w:t>
      </w:r>
      <w:r>
        <w:rPr>
          <w:rFonts w:eastAsia="Times New Roman" w:asciiTheme="majorBidi" w:hAnsiTheme="majorBidi" w:cstheme="majorBidi"/>
          <w:kern w:val="0"/>
          <w:rtl/>
          <w14:ligatures w14:val="none"/>
        </w:rPr>
        <w:t>، (</w:t>
      </w:r>
      <w:r>
        <w:rPr>
          <w:rFonts w:eastAsia="Times New Roman" w:asciiTheme="majorBidi" w:hAnsiTheme="majorBidi" w:cstheme="majorBidi"/>
          <w:kern w:val="0"/>
          <w14:ligatures w14:val="none"/>
        </w:rPr>
        <w:t>T=6.199</w:t>
      </w:r>
      <w:r>
        <w:rPr>
          <w:rFonts w:eastAsia="Times New Roman" w:asciiTheme="majorBidi" w:hAnsiTheme="majorBidi" w:cstheme="majorBidi"/>
          <w:kern w:val="0"/>
          <w:rtl/>
          <w14:ligatures w14:val="none"/>
        </w:rPr>
        <w:t xml:space="preserve">، </w:t>
      </w:r>
      <w:r>
        <w:rPr>
          <w:rFonts w:eastAsia="Times New Roman" w:asciiTheme="majorBidi" w:hAnsiTheme="majorBidi" w:cstheme="majorBidi"/>
          <w:kern w:val="0"/>
          <w14:ligatures w14:val="none"/>
        </w:rPr>
        <w:t>p=0.00</w:t>
      </w:r>
      <w:r>
        <w:rPr>
          <w:rFonts w:eastAsia="Times New Roman" w:asciiTheme="majorBidi" w:hAnsiTheme="majorBidi" w:cstheme="majorBidi"/>
          <w:kern w:val="0"/>
          <w:rtl/>
          <w14:ligatures w14:val="none"/>
        </w:rPr>
        <w:t>)، بينما لم تُظهر النتائج فروقًا دالة في مستوى الوصمة الاجتماعية بين المتدربين وغير المتدربين</w:t>
      </w:r>
      <w:r>
        <w:rPr>
          <w:rFonts w:eastAsia="Times New Roman" w:asciiTheme="majorBidi" w:hAnsiTheme="majorBidi" w:cstheme="majorBidi"/>
          <w:kern w:val="0"/>
          <w14:ligatures w14:val="none"/>
        </w:rPr>
        <w:t xml:space="preserve"> </w:t>
      </w:r>
      <w:r>
        <w:rPr>
          <w:rFonts w:eastAsia="Times New Roman" w:asciiTheme="majorBidi" w:hAnsiTheme="majorBidi" w:cstheme="majorBidi"/>
          <w:kern w:val="0"/>
          <w:rtl/>
          <w14:ligatures w14:val="none"/>
        </w:rPr>
        <w:t xml:space="preserve">( </w:t>
      </w:r>
      <w:r>
        <w:rPr>
          <w:rFonts w:eastAsia="Times New Roman" w:asciiTheme="majorBidi" w:hAnsiTheme="majorBidi" w:cstheme="majorBidi"/>
          <w:kern w:val="0"/>
          <w14:ligatures w14:val="none"/>
        </w:rPr>
        <w:t>M=2.47</w:t>
      </w:r>
      <w:r>
        <w:rPr>
          <w:rFonts w:eastAsia="Times New Roman" w:asciiTheme="majorBidi" w:hAnsiTheme="majorBidi" w:cstheme="majorBidi"/>
          <w:kern w:val="0"/>
          <w:rtl/>
          <w14:ligatures w14:val="none"/>
        </w:rPr>
        <w:t xml:space="preserve"> مقابل</w:t>
      </w:r>
      <w:r>
        <w:rPr>
          <w:rFonts w:eastAsia="Times New Roman" w:asciiTheme="majorBidi" w:hAnsiTheme="majorBidi" w:cstheme="majorBidi"/>
          <w:kern w:val="0"/>
          <w14:ligatures w14:val="none"/>
        </w:rPr>
        <w:t xml:space="preserve"> M=2.43</w:t>
      </w:r>
      <w:r>
        <w:rPr>
          <w:rFonts w:eastAsia="Times New Roman" w:asciiTheme="majorBidi" w:hAnsiTheme="majorBidi" w:cstheme="majorBidi"/>
          <w:kern w:val="0"/>
          <w:rtl/>
          <w14:ligatures w14:val="none"/>
        </w:rPr>
        <w:t xml:space="preserve">)، </w:t>
      </w:r>
      <w:r>
        <w:rPr>
          <w:rFonts w:eastAsia="Times New Roman" w:asciiTheme="majorBidi" w:hAnsiTheme="majorBidi" w:cstheme="majorBidi"/>
          <w:kern w:val="0"/>
          <w14:ligatures w14:val="none"/>
        </w:rPr>
        <w:t>p=0.231)</w:t>
      </w:r>
      <w:r>
        <w:rPr>
          <w:rFonts w:eastAsia="Times New Roman" w:asciiTheme="majorBidi" w:hAnsiTheme="majorBidi" w:cstheme="majorBidi"/>
          <w:kern w:val="0"/>
          <w:rtl/>
          <w14:ligatures w14:val="none"/>
        </w:rPr>
        <w:t>)</w:t>
      </w:r>
      <w:r>
        <w:rPr>
          <w:rFonts w:eastAsia="Times New Roman" w:asciiTheme="majorBidi" w:hAnsiTheme="majorBidi" w:cstheme="majorBidi"/>
          <w:kern w:val="0"/>
          <w14:ligatures w14:val="none"/>
        </w:rPr>
        <w:t xml:space="preserve">. </w:t>
      </w:r>
      <w:r>
        <w:rPr>
          <w:rFonts w:eastAsia="Times New Roman" w:asciiTheme="majorBidi" w:hAnsiTheme="majorBidi" w:cstheme="majorBidi"/>
          <w:kern w:val="0"/>
          <w:rtl/>
          <w14:ligatures w14:val="none"/>
        </w:rPr>
        <w:t xml:space="preserve"> </w:t>
      </w:r>
    </w:p>
    <w:p w14:paraId="39097CB3">
      <w:pPr>
        <w:bidi/>
        <w:spacing w:before="100" w:beforeAutospacing="1" w:after="100" w:afterAutospacing="1" w:line="360" w:lineRule="auto"/>
        <w:jc w:val="lowKashida"/>
        <w:rPr>
          <w:rFonts w:eastAsia="Times New Roman" w:asciiTheme="majorBidi" w:hAnsiTheme="majorBidi" w:cstheme="majorBidi"/>
          <w:kern w:val="0"/>
          <w14:ligatures w14:val="none"/>
        </w:rPr>
      </w:pPr>
      <w:r>
        <w:rPr>
          <w:rFonts w:eastAsia="Times New Roman" w:asciiTheme="majorBidi" w:hAnsiTheme="majorBidi" w:cstheme="majorBidi"/>
          <w:kern w:val="0"/>
          <w:rtl/>
          <w14:ligatures w14:val="none"/>
        </w:rPr>
        <w:t>تشير نتائج الدراسة إلى وجود فروق ذات دلالة إحصائية في مستوى الوعي بالمرض النفسي تُعزى إلى وجود خبرة سابقة في التعامل مع حالات تعاني من مشكلات نفسية، حيث تبين أن الأفراد ذوي الخبرة السابقة سجلوا متوسطًا أعلى في الوعي بالمرض النفسي مقارنة بالأفراد الذين لا يمتلكون خبرة، كما ظهرت فروق دالة أيضًا في مستوى الوصمة الاجتماعية لصالح ذوي الخبرة، مما يدل على أن الاحتكاك المباشر أو السابق مع حالات نفسية يسهم في رفع مستوى الفهم، وقد يرتبط أيضًا بزيادة الوعي بجوانب الوصمة الاجتماعية بشكل أكبر</w:t>
      </w:r>
      <w:r>
        <w:rPr>
          <w:rFonts w:eastAsia="Times New Roman" w:asciiTheme="majorBidi" w:hAnsiTheme="majorBidi" w:cstheme="majorBidi"/>
          <w:kern w:val="0"/>
          <w14:ligatures w14:val="none"/>
        </w:rPr>
        <w:t>.</w:t>
      </w:r>
    </w:p>
    <w:p w14:paraId="3C01AFE0">
      <w:pPr>
        <w:bidi/>
        <w:spacing w:before="100" w:beforeAutospacing="1" w:after="100" w:afterAutospacing="1" w:line="360" w:lineRule="auto"/>
        <w:jc w:val="lowKashida"/>
        <w:rPr>
          <w:rFonts w:eastAsia="Times New Roman" w:asciiTheme="majorBidi" w:hAnsiTheme="majorBidi" w:cstheme="majorBidi"/>
          <w:kern w:val="0"/>
          <w14:ligatures w14:val="none"/>
        </w:rPr>
      </w:pPr>
      <w:r>
        <w:rPr>
          <w:rFonts w:eastAsia="Times New Roman" w:asciiTheme="majorBidi" w:hAnsiTheme="majorBidi" w:cstheme="majorBidi"/>
          <w:kern w:val="0"/>
          <w:rtl/>
          <w14:ligatures w14:val="none"/>
        </w:rPr>
        <w:t>كما أظهرت النتائج وجود فروق ذات دلالة إحصائية في مستوى الوعي بالمرض النفسي تُعزى إلى التدريب السابق في مجال الصحة النفسية، حيث كان مستوى الوعي أعلى لدى الأفراد الذين تلقوا تدريبًا مقارنة بغير المتدربين، في حين لم تُظهر النتائج فروقًا ذات دلالة إحصائية في مستوى الوصمة الاجتماعية بين المجموعتين، مما يشير إلى أن التدريب يسهم بشكل واضح في تعزيز المعرفة والمفاهيم المرتبطة بالصحة النفسية، لكنه قد لا يكون كافيًا وحده لتغيير الاتجاهات والوصمة الاجتماعية بشكل مباشر</w:t>
      </w:r>
      <w:r>
        <w:rPr>
          <w:rFonts w:eastAsia="Times New Roman" w:asciiTheme="majorBidi" w:hAnsiTheme="majorBidi" w:cstheme="majorBidi"/>
          <w:kern w:val="0"/>
          <w14:ligatures w14:val="none"/>
        </w:rPr>
        <w:t>.</w:t>
      </w:r>
      <w:r>
        <w:rPr>
          <w:rFonts w:hint="cs" w:eastAsia="Times New Roman" w:asciiTheme="majorBidi" w:hAnsiTheme="majorBidi" w:cstheme="majorBidi"/>
          <w:kern w:val="0"/>
          <w:rtl/>
          <w14:ligatures w14:val="none"/>
        </w:rPr>
        <w:t xml:space="preserve"> و</w:t>
      </w:r>
      <w:r>
        <w:rPr>
          <w:rFonts w:eastAsia="Times New Roman" w:asciiTheme="majorBidi" w:hAnsiTheme="majorBidi" w:cstheme="majorBidi"/>
          <w:kern w:val="0"/>
          <w:rtl/>
          <w14:ligatures w14:val="none"/>
        </w:rPr>
        <w:t xml:space="preserve">تتفق </w:t>
      </w:r>
      <w:r>
        <w:rPr>
          <w:rFonts w:hint="cs" w:eastAsia="Times New Roman" w:asciiTheme="majorBidi" w:hAnsiTheme="majorBidi" w:cstheme="majorBidi"/>
          <w:kern w:val="0"/>
          <w:rtl/>
          <w14:ligatures w14:val="none"/>
        </w:rPr>
        <w:t xml:space="preserve">هذه النتيجة </w:t>
      </w:r>
      <w:r>
        <w:rPr>
          <w:rFonts w:eastAsia="Times New Roman" w:asciiTheme="majorBidi" w:hAnsiTheme="majorBidi" w:cstheme="majorBidi"/>
          <w:kern w:val="0"/>
          <w:rtl/>
          <w14:ligatures w14:val="none"/>
        </w:rPr>
        <w:t xml:space="preserve">مع دراسة </w:t>
      </w:r>
      <w:r>
        <w:rPr>
          <w:rFonts w:eastAsia="Times New Roman" w:asciiTheme="majorBidi" w:hAnsiTheme="majorBidi" w:cstheme="majorBidi"/>
          <w:kern w:val="0"/>
          <w14:ligatures w14:val="none"/>
        </w:rPr>
        <w:t xml:space="preserve"> (Koutra et al., 2024</w:t>
      </w:r>
      <w:r>
        <w:rPr>
          <w:rFonts w:eastAsia="Times New Roman" w:asciiTheme="majorBidi" w:hAnsiTheme="majorBidi" w:cstheme="majorBidi"/>
          <w:b/>
          <w:bCs/>
          <w:kern w:val="0"/>
          <w14:ligatures w14:val="none"/>
        </w:rPr>
        <w:t>)</w:t>
      </w:r>
      <w:r>
        <w:rPr>
          <w:rFonts w:eastAsia="Times New Roman" w:asciiTheme="majorBidi" w:hAnsiTheme="majorBidi" w:cstheme="majorBidi"/>
          <w:kern w:val="0"/>
          <w14:ligatures w14:val="none"/>
        </w:rPr>
        <w:t xml:space="preserve"> </w:t>
      </w:r>
      <w:r>
        <w:rPr>
          <w:rFonts w:eastAsia="Times New Roman" w:asciiTheme="majorBidi" w:hAnsiTheme="majorBidi" w:cstheme="majorBidi"/>
          <w:kern w:val="0"/>
          <w:rtl/>
          <w14:ligatures w14:val="none"/>
        </w:rPr>
        <w:t>التي بينت أن التعرض والخبرة والمعرفة بالصحة النفسية يرتبطان بانخفاض الوصمة الذاتية وتحسن المواقف تجاه المرض النفسي، مما يفسر انخفاض بعض جوانب الوصمة لدى ذوي الخبرة في الدراسة الحالية</w:t>
      </w:r>
      <w:r>
        <w:rPr>
          <w:rFonts w:eastAsia="Times New Roman" w:asciiTheme="majorBidi" w:hAnsiTheme="majorBidi" w:cstheme="majorBidi"/>
          <w:kern w:val="0"/>
          <w14:ligatures w14:val="none"/>
        </w:rPr>
        <w:t>.</w:t>
      </w:r>
    </w:p>
    <w:p w14:paraId="66AA630C">
      <w:pPr>
        <w:bidi/>
        <w:spacing w:before="100" w:beforeAutospacing="1" w:after="100" w:afterAutospacing="1" w:line="360" w:lineRule="auto"/>
        <w:jc w:val="lowKashida"/>
        <w:rPr>
          <w:rFonts w:eastAsia="Times New Roman" w:asciiTheme="majorBidi" w:hAnsiTheme="majorBidi" w:cstheme="majorBidi"/>
          <w:kern w:val="0"/>
          <w14:ligatures w14:val="none"/>
        </w:rPr>
      </w:pPr>
      <w:r>
        <w:rPr>
          <w:rFonts w:eastAsia="Times New Roman" w:asciiTheme="majorBidi" w:hAnsiTheme="majorBidi" w:cstheme="majorBidi"/>
          <w:kern w:val="0"/>
          <w:rtl/>
          <w14:ligatures w14:val="none"/>
        </w:rPr>
        <w:t>ويُفسَّر ذلك بأن الخبرة السابقة في التعامل مع الحالات النفسية توفر فرصة للتفاعل المباشر الذي يساهم في تصحيح المفاهيم الخاطئة وزيادة الفهم الواقعي لطبيعة الاضطرابات النفسية، بينما يعكس تأثير التدريب دور المعرفة المنظمة في رفع مستوى الوعي، إلا أن الوصمة الاجتماعية بوصفها اتجاهًا راسخًا قد تحتاج إلى برامج أكثر عمقًا واستمرارية تتجاوز الجانب المعرفي لتشمل الخبرات الوجدانية والتفاعلية، بما يسهم في إحداث تغيير فعلي في الاتجاهات الاجتماعية نحو المرض النفسي</w:t>
      </w:r>
      <w:r>
        <w:rPr>
          <w:rFonts w:eastAsia="Times New Roman" w:asciiTheme="majorBidi" w:hAnsiTheme="majorBidi" w:cstheme="majorBidi"/>
          <w:kern w:val="0"/>
          <w14:ligatures w14:val="none"/>
        </w:rPr>
        <w:t>.</w:t>
      </w:r>
    </w:p>
    <w:p w14:paraId="39B8FD04">
      <w:pPr>
        <w:bidi/>
        <w:spacing w:before="100" w:beforeAutospacing="1" w:after="100" w:afterAutospacing="1" w:line="360" w:lineRule="auto"/>
        <w:jc w:val="lowKashida"/>
        <w:rPr>
          <w:rFonts w:asciiTheme="majorBidi" w:hAnsiTheme="majorBidi" w:cstheme="majorBidi"/>
          <w:b/>
          <w:bCs/>
          <w:color w:val="000000" w:themeColor="text1"/>
          <w:rtl/>
          <w14:textFill>
            <w14:solidFill>
              <w14:schemeClr w14:val="tx1"/>
            </w14:solidFill>
          </w14:textFill>
        </w:rPr>
      </w:pPr>
      <w:bookmarkStart w:id="5" w:name="_Hlk208772947"/>
      <w:r>
        <w:rPr>
          <w:rFonts w:asciiTheme="majorBidi" w:hAnsiTheme="majorBidi" w:cstheme="majorBidi"/>
          <w:b/>
          <w:bCs/>
          <w:rtl/>
          <w:lang w:bidi="ar-JO"/>
        </w:rPr>
        <w:t xml:space="preserve">نتائج السؤال الرابع: " </w:t>
      </w:r>
      <w:r>
        <w:rPr>
          <w:rFonts w:asciiTheme="majorBidi" w:hAnsiTheme="majorBidi" w:cstheme="majorBidi"/>
          <w:b/>
          <w:bCs/>
          <w:rtl/>
        </w:rPr>
        <w:t>ما طبيعة العلاقة بين مستوى محو الأمية في الصحة النفسية ومستوى الوصمة تجاه المرض النفسي لدى الأفراد البالغين في المجتمع الأردني</w:t>
      </w:r>
      <w:r>
        <w:rPr>
          <w:rFonts w:asciiTheme="majorBidi" w:hAnsiTheme="majorBidi" w:cstheme="majorBidi"/>
          <w:b/>
          <w:bCs/>
          <w:color w:val="000000" w:themeColor="text1"/>
          <w:rtl/>
          <w14:textFill>
            <w14:solidFill>
              <w14:schemeClr w14:val="tx1"/>
            </w14:solidFill>
          </w14:textFill>
        </w:rPr>
        <w:t>؟ ".</w:t>
      </w:r>
    </w:p>
    <w:bookmarkEnd w:id="5"/>
    <w:p w14:paraId="08CF59AC">
      <w:pPr>
        <w:bidi/>
        <w:spacing w:line="360" w:lineRule="auto"/>
        <w:jc w:val="lowKashida"/>
        <w:rPr>
          <w:rFonts w:eastAsia="Times New Roman" w:asciiTheme="majorBidi" w:hAnsiTheme="majorBidi" w:cstheme="majorBidi"/>
          <w:kern w:val="0"/>
          <w:rtl/>
          <w14:ligatures w14:val="none"/>
        </w:rPr>
      </w:pPr>
      <w:r>
        <w:rPr>
          <w:rFonts w:asciiTheme="majorBidi" w:hAnsiTheme="majorBidi" w:cstheme="majorBidi"/>
          <w:rtl/>
        </w:rPr>
        <w:t>للإجابة عن هذا السؤال تم حساب معامل ارتباط بيرسون</w:t>
      </w:r>
      <w:r>
        <w:rPr>
          <w:rFonts w:asciiTheme="majorBidi" w:hAnsiTheme="majorBidi" w:cstheme="majorBidi"/>
          <w:rtl/>
          <w:lang w:bidi="ar-JO"/>
        </w:rPr>
        <w:t xml:space="preserve"> </w:t>
      </w:r>
      <w:r>
        <w:rPr>
          <w:rFonts w:asciiTheme="majorBidi" w:hAnsiTheme="majorBidi" w:cstheme="majorBidi"/>
          <w:rtl/>
        </w:rPr>
        <w:t xml:space="preserve">لمعرفة طبيعة العلاقة بين مجالات الدراسة </w:t>
      </w:r>
    </w:p>
    <w:p w14:paraId="15AFDF72">
      <w:pPr>
        <w:bidi/>
        <w:spacing w:after="0" w:line="360" w:lineRule="auto"/>
        <w:rPr>
          <w:rFonts w:eastAsia="Times New Roman" w:asciiTheme="majorBidi" w:hAnsiTheme="majorBidi" w:cstheme="majorBidi"/>
          <w:kern w:val="0"/>
          <w:sz w:val="20"/>
          <w:szCs w:val="20"/>
          <w14:ligatures w14:val="none"/>
        </w:rPr>
      </w:pPr>
      <w:r>
        <w:rPr>
          <w:rFonts w:eastAsia="Times New Roman" w:asciiTheme="majorBidi" w:hAnsiTheme="majorBidi" w:cstheme="majorBidi"/>
          <w:b/>
          <w:bCs/>
          <w:kern w:val="0"/>
          <w:sz w:val="20"/>
          <w:szCs w:val="20"/>
          <w:rtl/>
          <w:lang w:bidi="ar-JO"/>
          <w14:ligatures w14:val="none"/>
        </w:rPr>
        <w:t>ا</w:t>
      </w:r>
      <w:r>
        <w:rPr>
          <w:rFonts w:eastAsia="Times New Roman" w:asciiTheme="majorBidi" w:hAnsiTheme="majorBidi" w:cstheme="majorBidi"/>
          <w:b/>
          <w:bCs/>
          <w:kern w:val="0"/>
          <w:sz w:val="20"/>
          <w:szCs w:val="20"/>
          <w:rtl/>
          <w14:ligatures w14:val="none"/>
        </w:rPr>
        <w:t>لجدول</w:t>
      </w:r>
      <w:r>
        <w:rPr>
          <w:rFonts w:eastAsia="Times New Roman" w:asciiTheme="majorBidi" w:hAnsiTheme="majorBidi" w:cstheme="majorBidi"/>
          <w:b/>
          <w:bCs/>
          <w:kern w:val="0"/>
          <w:sz w:val="20"/>
          <w:szCs w:val="20"/>
          <w14:ligatures w14:val="none"/>
        </w:rPr>
        <w:t xml:space="preserve"> </w:t>
      </w:r>
      <w:r>
        <w:rPr>
          <w:rFonts w:eastAsia="Times New Roman" w:asciiTheme="majorBidi" w:hAnsiTheme="majorBidi" w:cstheme="majorBidi"/>
          <w:b/>
          <w:bCs/>
          <w:kern w:val="0"/>
          <w:sz w:val="20"/>
          <w:szCs w:val="20"/>
          <w:rtl/>
          <w14:ligatures w14:val="none"/>
        </w:rPr>
        <w:t>(9): معامل الارتباط بين مستوى محو الأمية بالصحة النفسية ومستوى الوصمة</w:t>
      </w:r>
    </w:p>
    <w:tbl>
      <w:tblPr>
        <w:tblStyle w:val="18"/>
        <w:bidiVisual/>
        <w:tblW w:w="8468" w:type="dxa"/>
        <w:tblInd w:w="0" w:type="dxa"/>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681"/>
        <w:gridCol w:w="1925"/>
        <w:gridCol w:w="1088"/>
        <w:gridCol w:w="1774"/>
      </w:tblGrid>
      <w:tr w14:paraId="6630B629">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bottom w:val="single" w:color="7E7E7E" w:themeColor="text1" w:themeTint="80" w:sz="4" w:space="0"/>
              <w:insideH w:val="single" w:sz="4" w:space="0"/>
            </w:tcBorders>
          </w:tcPr>
          <w:p w14:paraId="171BE897">
            <w:pPr>
              <w:spacing w:after="0" w:line="360" w:lineRule="auto"/>
              <w:jc w:val="center"/>
              <w:rPr>
                <w:rFonts w:eastAsia="Times New Roman" w:asciiTheme="majorBidi" w:hAnsiTheme="majorBidi" w:cstheme="majorBidi"/>
                <w:b/>
                <w:bCs/>
                <w:kern w:val="0"/>
                <w:sz w:val="20"/>
                <w:szCs w:val="20"/>
                <w14:ligatures w14:val="none"/>
              </w:rPr>
            </w:pPr>
            <w:r>
              <w:rPr>
                <w:rFonts w:eastAsia="Times New Roman" w:asciiTheme="majorBidi" w:hAnsiTheme="majorBidi" w:cstheme="majorBidi"/>
                <w:b/>
                <w:bCs/>
                <w:kern w:val="0"/>
                <w:sz w:val="20"/>
                <w:szCs w:val="20"/>
                <w:rtl/>
                <w14:ligatures w14:val="none"/>
              </w:rPr>
              <w:t>المتغيران</w:t>
            </w:r>
          </w:p>
        </w:tc>
        <w:tc>
          <w:tcPr>
            <w:tcW w:w="0" w:type="auto"/>
            <w:tcBorders>
              <w:bottom w:val="single" w:color="7E7E7E" w:themeColor="text1" w:themeTint="80" w:sz="4" w:space="0"/>
              <w:insideH w:val="single" w:sz="4" w:space="0"/>
            </w:tcBorders>
          </w:tcPr>
          <w:p w14:paraId="24B6A9F8">
            <w:pPr>
              <w:spacing w:after="0" w:line="360" w:lineRule="auto"/>
              <w:jc w:val="center"/>
              <w:rPr>
                <w:rFonts w:eastAsia="Times New Roman" w:asciiTheme="majorBidi" w:hAnsiTheme="majorBidi" w:cstheme="majorBidi"/>
                <w:b/>
                <w:bCs/>
                <w:kern w:val="0"/>
                <w:sz w:val="20"/>
                <w:szCs w:val="20"/>
                <w14:ligatures w14:val="none"/>
              </w:rPr>
            </w:pPr>
            <w:r>
              <w:rPr>
                <w:rFonts w:eastAsia="Times New Roman" w:asciiTheme="majorBidi" w:hAnsiTheme="majorBidi" w:cstheme="majorBidi"/>
                <w:b/>
                <w:bCs/>
                <w:kern w:val="0"/>
                <w:sz w:val="20"/>
                <w:szCs w:val="20"/>
                <w:rtl/>
                <w14:ligatures w14:val="none"/>
              </w:rPr>
              <w:t>معامل الارتباط</w:t>
            </w:r>
            <w:r>
              <w:rPr>
                <w:rFonts w:eastAsia="Times New Roman" w:asciiTheme="majorBidi" w:hAnsiTheme="majorBidi" w:cstheme="majorBidi"/>
                <w:b/>
                <w:bCs/>
                <w:kern w:val="0"/>
                <w:sz w:val="20"/>
                <w:szCs w:val="20"/>
                <w14:ligatures w14:val="none"/>
              </w:rPr>
              <w:t xml:space="preserve"> (r)</w:t>
            </w:r>
          </w:p>
        </w:tc>
        <w:tc>
          <w:tcPr>
            <w:tcW w:w="0" w:type="auto"/>
            <w:tcBorders>
              <w:bottom w:val="single" w:color="7E7E7E" w:themeColor="text1" w:themeTint="80" w:sz="4" w:space="0"/>
              <w:insideH w:val="single" w:sz="4" w:space="0"/>
            </w:tcBorders>
          </w:tcPr>
          <w:p w14:paraId="0EA36304">
            <w:pPr>
              <w:spacing w:after="0" w:line="360" w:lineRule="auto"/>
              <w:jc w:val="center"/>
              <w:rPr>
                <w:rFonts w:eastAsia="Times New Roman" w:asciiTheme="majorBidi" w:hAnsiTheme="majorBidi" w:cstheme="majorBidi"/>
                <w:b/>
                <w:bCs/>
                <w:kern w:val="0"/>
                <w:sz w:val="20"/>
                <w:szCs w:val="20"/>
                <w14:ligatures w14:val="none"/>
              </w:rPr>
            </w:pPr>
            <w:r>
              <w:rPr>
                <w:rFonts w:eastAsia="Times New Roman" w:asciiTheme="majorBidi" w:hAnsiTheme="majorBidi" w:cstheme="majorBidi"/>
                <w:b/>
                <w:bCs/>
                <w:kern w:val="0"/>
                <w:sz w:val="20"/>
                <w:szCs w:val="20"/>
                <w:rtl/>
                <w14:ligatures w14:val="none"/>
              </w:rPr>
              <w:t>قيمة</w:t>
            </w:r>
            <w:r>
              <w:rPr>
                <w:rFonts w:eastAsia="Times New Roman" w:asciiTheme="majorBidi" w:hAnsiTheme="majorBidi" w:cstheme="majorBidi"/>
                <w:b/>
                <w:bCs/>
                <w:kern w:val="0"/>
                <w:sz w:val="20"/>
                <w:szCs w:val="20"/>
                <w14:ligatures w14:val="none"/>
              </w:rPr>
              <w:t xml:space="preserve"> (p)</w:t>
            </w:r>
          </w:p>
        </w:tc>
        <w:tc>
          <w:tcPr>
            <w:tcW w:w="0" w:type="auto"/>
            <w:tcBorders>
              <w:bottom w:val="single" w:color="7E7E7E" w:themeColor="text1" w:themeTint="80" w:sz="4" w:space="0"/>
              <w:insideH w:val="single" w:sz="4" w:space="0"/>
            </w:tcBorders>
          </w:tcPr>
          <w:p w14:paraId="2D1A54B7">
            <w:pPr>
              <w:spacing w:after="0" w:line="360" w:lineRule="auto"/>
              <w:jc w:val="center"/>
              <w:rPr>
                <w:rFonts w:eastAsia="Times New Roman" w:asciiTheme="majorBidi" w:hAnsiTheme="majorBidi" w:cstheme="majorBidi"/>
                <w:b/>
                <w:bCs/>
                <w:kern w:val="0"/>
                <w:sz w:val="20"/>
                <w:szCs w:val="20"/>
                <w14:ligatures w14:val="none"/>
              </w:rPr>
            </w:pPr>
            <w:r>
              <w:rPr>
                <w:rFonts w:eastAsia="Times New Roman" w:asciiTheme="majorBidi" w:hAnsiTheme="majorBidi" w:cstheme="majorBidi"/>
                <w:b/>
                <w:bCs/>
                <w:kern w:val="0"/>
                <w:sz w:val="20"/>
                <w:szCs w:val="20"/>
                <w:rtl/>
                <w14:ligatures w14:val="none"/>
              </w:rPr>
              <w:t>الدلالة الإحصائية</w:t>
            </w:r>
          </w:p>
        </w:tc>
      </w:tr>
      <w:tr w14:paraId="0F632D17">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7E7E7E" w:themeColor="text1" w:themeTint="80" w:sz="4" w:space="0"/>
              <w:bottom w:val="single" w:color="7E7E7E" w:themeColor="text1" w:themeTint="80" w:sz="4" w:space="0"/>
              <w:insideH w:val="single" w:sz="4" w:space="0"/>
            </w:tcBorders>
          </w:tcPr>
          <w:p w14:paraId="75C9403F">
            <w:pPr>
              <w:spacing w:after="0" w:line="360" w:lineRule="auto"/>
              <w:rPr>
                <w:rFonts w:eastAsia="Times New Roman" w:asciiTheme="majorBidi" w:hAnsiTheme="majorBidi" w:cstheme="majorBidi"/>
                <w:b/>
                <w:bCs/>
                <w:kern w:val="0"/>
                <w:sz w:val="20"/>
                <w:szCs w:val="20"/>
                <w14:ligatures w14:val="none"/>
              </w:rPr>
            </w:pPr>
            <w:r>
              <w:rPr>
                <w:rFonts w:eastAsia="Times New Roman" w:asciiTheme="majorBidi" w:hAnsiTheme="majorBidi" w:cstheme="majorBidi"/>
                <w:b/>
                <w:bCs/>
                <w:kern w:val="0"/>
                <w:sz w:val="20"/>
                <w:szCs w:val="20"/>
                <w:rtl/>
                <w14:ligatures w14:val="none"/>
              </w:rPr>
              <w:t>محو الأمية بالصحة النفسية × الوصمة</w:t>
            </w:r>
          </w:p>
        </w:tc>
        <w:tc>
          <w:tcPr>
            <w:tcW w:w="0" w:type="auto"/>
            <w:tcBorders>
              <w:top w:val="single" w:color="7E7E7E" w:themeColor="text1" w:themeTint="80" w:sz="4" w:space="0"/>
              <w:bottom w:val="single" w:color="7E7E7E" w:themeColor="text1" w:themeTint="80" w:sz="4" w:space="0"/>
              <w:insideH w:val="single" w:sz="4" w:space="0"/>
            </w:tcBorders>
          </w:tcPr>
          <w:p w14:paraId="44B2ACAB">
            <w:pPr>
              <w:spacing w:after="0" w:line="360" w:lineRule="auto"/>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14:ligatures w14:val="none"/>
              </w:rPr>
              <w:t>-0.</w:t>
            </w:r>
            <w:r>
              <w:rPr>
                <w:rFonts w:eastAsia="Times New Roman" w:asciiTheme="majorBidi" w:hAnsiTheme="majorBidi" w:cstheme="majorBidi"/>
                <w:kern w:val="0"/>
                <w:sz w:val="20"/>
                <w:szCs w:val="20"/>
                <w:rtl/>
                <w14:ligatures w14:val="none"/>
              </w:rPr>
              <w:t>414</w:t>
            </w:r>
          </w:p>
        </w:tc>
        <w:tc>
          <w:tcPr>
            <w:tcW w:w="0" w:type="auto"/>
            <w:tcBorders>
              <w:top w:val="single" w:color="7E7E7E" w:themeColor="text1" w:themeTint="80" w:sz="4" w:space="0"/>
              <w:bottom w:val="single" w:color="7E7E7E" w:themeColor="text1" w:themeTint="80" w:sz="4" w:space="0"/>
              <w:insideH w:val="single" w:sz="4" w:space="0"/>
            </w:tcBorders>
          </w:tcPr>
          <w:p w14:paraId="1596F8A9">
            <w:pPr>
              <w:spacing w:after="0" w:line="360" w:lineRule="auto"/>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14:ligatures w14:val="none"/>
              </w:rPr>
              <w:t>0.000</w:t>
            </w:r>
          </w:p>
        </w:tc>
        <w:tc>
          <w:tcPr>
            <w:tcW w:w="0" w:type="auto"/>
            <w:tcBorders>
              <w:top w:val="single" w:color="7E7E7E" w:themeColor="text1" w:themeTint="80" w:sz="4" w:space="0"/>
              <w:bottom w:val="single" w:color="7E7E7E" w:themeColor="text1" w:themeTint="80" w:sz="4" w:space="0"/>
              <w:insideH w:val="single" w:sz="4" w:space="0"/>
            </w:tcBorders>
          </w:tcPr>
          <w:p w14:paraId="5BCE2B62">
            <w:pPr>
              <w:spacing w:after="0" w:line="360" w:lineRule="auto"/>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rtl/>
                <w14:ligatures w14:val="none"/>
              </w:rPr>
              <w:t>دال إحصائيًا</w:t>
            </w:r>
          </w:p>
        </w:tc>
      </w:tr>
    </w:tbl>
    <w:p w14:paraId="01D58CAD">
      <w:pPr>
        <w:bidi/>
        <w:spacing w:before="100" w:beforeAutospacing="1" w:after="100" w:afterAutospacing="1" w:line="360" w:lineRule="auto"/>
        <w:jc w:val="lowKashida"/>
        <w:rPr>
          <w:rFonts w:eastAsia="Times New Roman" w:asciiTheme="majorBidi" w:hAnsiTheme="majorBidi" w:cstheme="majorBidi"/>
          <w:kern w:val="0"/>
          <w:rtl/>
          <w14:ligatures w14:val="none"/>
        </w:rPr>
      </w:pPr>
      <w:r>
        <w:rPr>
          <w:rFonts w:eastAsia="Times New Roman" w:asciiTheme="majorBidi" w:hAnsiTheme="majorBidi" w:cstheme="majorBidi"/>
          <w:kern w:val="0"/>
          <w:rtl/>
          <w14:ligatures w14:val="none"/>
        </w:rPr>
        <w:t>تشير نتائج الجدول (9) إلى وجود علاقة سلبية معتدلة ودالة إحصائيًا بين مستوى محو الأمية في الصحة النفسية ومستوى الوصمة تجاه المرض النفسي لدى الأفراد البالغين في المجتمع الأردني، حيث بلغ معامل ارتباط بيرسون</w:t>
      </w:r>
      <w:r>
        <w:rPr>
          <w:rFonts w:eastAsia="Times New Roman" w:asciiTheme="majorBidi" w:hAnsiTheme="majorBidi" w:cstheme="majorBidi"/>
          <w:kern w:val="0"/>
          <w14:ligatures w14:val="none"/>
        </w:rPr>
        <w:t xml:space="preserve"> (r = -0.414</w:t>
      </w:r>
      <w:r>
        <w:rPr>
          <w:rFonts w:eastAsia="Times New Roman" w:asciiTheme="majorBidi" w:hAnsiTheme="majorBidi" w:cstheme="majorBidi"/>
          <w:kern w:val="0"/>
          <w:rtl/>
          <w14:ligatures w14:val="none"/>
        </w:rPr>
        <w:t xml:space="preserve">، </w:t>
      </w:r>
      <w:r>
        <w:rPr>
          <w:rFonts w:eastAsia="Times New Roman" w:asciiTheme="majorBidi" w:hAnsiTheme="majorBidi" w:cstheme="majorBidi"/>
          <w:kern w:val="0"/>
          <w14:ligatures w14:val="none"/>
        </w:rPr>
        <w:t xml:space="preserve">p = 0.000). </w:t>
      </w:r>
      <w:r>
        <w:rPr>
          <w:rFonts w:eastAsia="Times New Roman" w:asciiTheme="majorBidi" w:hAnsiTheme="majorBidi" w:cstheme="majorBidi"/>
          <w:kern w:val="0"/>
          <w:rtl/>
          <w14:ligatures w14:val="none"/>
        </w:rPr>
        <w:t>وهذا يعني أنه كلما ارتفع مستوى محو الأمية في الصحة النفسية لدى الأفراد، انخفض مستوى الوصمة المرتبطة بالمرض النفسي، مما يوضح الدور الإيجابي لمحو الأمية النفسية في تقليل المواقف السلبية والوصمة الاجتماعية تجاه الأشخاص المصابين بمشاكل نفسية</w:t>
      </w:r>
      <w:r>
        <w:rPr>
          <w:rFonts w:eastAsia="Times New Roman" w:asciiTheme="majorBidi" w:hAnsiTheme="majorBidi" w:cstheme="majorBidi"/>
          <w:kern w:val="0"/>
          <w14:ligatures w14:val="none"/>
        </w:rPr>
        <w:t>.</w:t>
      </w:r>
    </w:p>
    <w:p w14:paraId="39E5804C">
      <w:pPr>
        <w:bidi/>
        <w:spacing w:before="100" w:beforeAutospacing="1" w:after="100" w:afterAutospacing="1" w:line="360" w:lineRule="auto"/>
        <w:jc w:val="lowKashida"/>
        <w:rPr>
          <w:rFonts w:asciiTheme="majorBidi" w:hAnsiTheme="majorBidi" w:cstheme="majorBidi"/>
        </w:rPr>
      </w:pPr>
      <w:r>
        <w:rPr>
          <w:rFonts w:hint="cs" w:asciiTheme="majorBidi" w:hAnsiTheme="majorBidi" w:cstheme="majorBidi"/>
          <w:rtl/>
          <w:lang w:bidi="ar-JO"/>
        </w:rPr>
        <w:t xml:space="preserve">وقد </w:t>
      </w:r>
      <w:r>
        <w:rPr>
          <w:rFonts w:asciiTheme="majorBidi" w:hAnsiTheme="majorBidi" w:cstheme="majorBidi"/>
          <w:rtl/>
        </w:rPr>
        <w:t xml:space="preserve">اتفقت نتائج الدراسة الحالية التي أظهرت وجود علاقة سلبية دالة بين محو الأمية في الصحة النفسية والوصمة الاجتماعية مع ما ورد في دراسة </w:t>
      </w:r>
      <w:r>
        <w:rPr>
          <w:rFonts w:asciiTheme="majorBidi" w:hAnsiTheme="majorBidi" w:cstheme="majorBidi"/>
        </w:rPr>
        <w:t xml:space="preserve"> (Simões de Almeida et al., 2023)</w:t>
      </w:r>
      <w:r>
        <w:rPr>
          <w:rFonts w:asciiTheme="majorBidi" w:hAnsiTheme="majorBidi" w:cstheme="majorBidi"/>
          <w:rtl/>
        </w:rPr>
        <w:t>التي بينت وجود علاقة عكسية بين مستوى التوعية بالصحة النفسية ومستوى الوصمة، حيث تنخفض الوصمة كلما ارتفع مستوى الوعي والمعرفة بالصحة النفسية، مما يؤكد الدور الوقائي للمعرفة في تقليل الاتجاهات السلبية نحو المرض النفسي</w:t>
      </w:r>
      <w:r>
        <w:rPr>
          <w:rFonts w:asciiTheme="majorBidi" w:hAnsiTheme="majorBidi" w:cstheme="majorBidi"/>
        </w:rPr>
        <w:t>.</w:t>
      </w:r>
    </w:p>
    <w:p w14:paraId="40869239">
      <w:pPr>
        <w:bidi/>
        <w:spacing w:before="100" w:beforeAutospacing="1" w:after="100" w:afterAutospacing="1" w:line="360" w:lineRule="auto"/>
        <w:jc w:val="lowKashida"/>
        <w:rPr>
          <w:rFonts w:asciiTheme="majorBidi" w:hAnsiTheme="majorBidi" w:cstheme="majorBidi"/>
          <w:rtl/>
        </w:rPr>
      </w:pPr>
      <w:r>
        <w:rPr>
          <w:rFonts w:asciiTheme="majorBidi" w:hAnsiTheme="majorBidi" w:cstheme="majorBidi"/>
          <w:rtl/>
        </w:rPr>
        <w:t xml:space="preserve">كما تتفق هذه النتائج مع دراسة </w:t>
      </w:r>
      <w:r>
        <w:rPr>
          <w:rFonts w:asciiTheme="majorBidi" w:hAnsiTheme="majorBidi" w:cstheme="majorBidi"/>
        </w:rPr>
        <w:t>(Koutra et al., 2024</w:t>
      </w:r>
      <w:r>
        <w:rPr>
          <w:rFonts w:asciiTheme="majorBidi" w:hAnsiTheme="majorBidi" w:cstheme="majorBidi"/>
          <w:b/>
          <w:bCs/>
        </w:rPr>
        <w:t>)</w:t>
      </w:r>
      <w:r>
        <w:rPr>
          <w:rFonts w:asciiTheme="majorBidi" w:hAnsiTheme="majorBidi" w:cstheme="majorBidi"/>
        </w:rPr>
        <w:t xml:space="preserve"> </w:t>
      </w:r>
      <w:r>
        <w:rPr>
          <w:rFonts w:asciiTheme="majorBidi" w:hAnsiTheme="majorBidi" w:cstheme="majorBidi"/>
          <w:rtl/>
        </w:rPr>
        <w:t>التي أظهرت أن ارتفاع مستوى الوعي بالصحة النفسية يرتبط بمواقف أقل وصمة تجاه المرض النفسي وانخفاض الوصمة الذاتية المرتبطة بطلب المساعدة، مما يشير إلى أن المعرفة تسهم في تحسين الاتجاهات الاجتماعية وتقليل التحيزات السلبية</w:t>
      </w:r>
      <w:r>
        <w:rPr>
          <w:rFonts w:hint="cs" w:asciiTheme="majorBidi" w:hAnsiTheme="majorBidi" w:cstheme="majorBidi"/>
          <w:rtl/>
        </w:rPr>
        <w:t>،</w:t>
      </w:r>
      <w:r>
        <w:rPr>
          <w:rFonts w:hint="cs" w:asciiTheme="majorBidi" w:hAnsiTheme="majorBidi" w:cstheme="majorBidi"/>
          <w:rtl/>
          <w:lang w:bidi="ar-JO"/>
        </w:rPr>
        <w:t xml:space="preserve"> </w:t>
      </w:r>
      <w:r>
        <w:rPr>
          <w:rFonts w:hint="cs" w:asciiTheme="majorBidi" w:hAnsiTheme="majorBidi" w:cstheme="majorBidi"/>
          <w:rtl/>
        </w:rPr>
        <w:t>فيما</w:t>
      </w:r>
      <w:r>
        <w:rPr>
          <w:rFonts w:asciiTheme="majorBidi" w:hAnsiTheme="majorBidi" w:cstheme="majorBidi"/>
          <w:rtl/>
        </w:rPr>
        <w:t xml:space="preserve"> أشارت دراسة </w:t>
      </w:r>
      <w:r>
        <w:rPr>
          <w:rFonts w:asciiTheme="majorBidi" w:hAnsiTheme="majorBidi" w:cstheme="majorBidi"/>
        </w:rPr>
        <w:t xml:space="preserve">(Al-Qerem et al., 2024) </w:t>
      </w:r>
      <w:r>
        <w:rPr>
          <w:rFonts w:asciiTheme="majorBidi" w:hAnsiTheme="majorBidi" w:cstheme="majorBidi"/>
          <w:rtl/>
        </w:rPr>
        <w:t>إلى أن ضعف الثقافة الصحية النفسية يرتبط بزيادة العوائق الاجتماعية ومنها الوصمة، مما يعزز فكرة أن رفع مستوى الوعي يساهم في خفض الوصمة الاجتماعية</w:t>
      </w:r>
      <w:r>
        <w:rPr>
          <w:rFonts w:asciiTheme="majorBidi" w:hAnsiTheme="majorBidi" w:cstheme="majorBidi"/>
        </w:rPr>
        <w:t>.</w:t>
      </w:r>
    </w:p>
    <w:p w14:paraId="38EDE8DF">
      <w:pPr>
        <w:bidi/>
        <w:spacing w:before="100" w:beforeAutospacing="1" w:after="100" w:afterAutospacing="1" w:line="360" w:lineRule="auto"/>
        <w:jc w:val="lowKashida"/>
        <w:rPr>
          <w:rFonts w:asciiTheme="majorBidi" w:hAnsiTheme="majorBidi" w:cstheme="majorBidi"/>
        </w:rPr>
      </w:pPr>
      <w:r>
        <w:rPr>
          <w:rFonts w:hint="cs" w:asciiTheme="majorBidi" w:hAnsiTheme="majorBidi" w:cstheme="majorBidi"/>
          <w:rtl/>
          <w:lang w:bidi="ar-JO"/>
        </w:rPr>
        <w:t xml:space="preserve">كما </w:t>
      </w:r>
      <w:r>
        <w:rPr>
          <w:rFonts w:asciiTheme="majorBidi" w:hAnsiTheme="majorBidi" w:cstheme="majorBidi"/>
          <w:rtl/>
        </w:rPr>
        <w:t xml:space="preserve">أظهرت نتائج الدراسة وجود علاقة ارتباطية </w:t>
      </w:r>
      <w:r>
        <w:rPr>
          <w:rFonts w:asciiTheme="majorBidi" w:hAnsiTheme="majorBidi" w:cstheme="majorBidi"/>
          <w:b/>
          <w:bCs/>
          <w:rtl/>
        </w:rPr>
        <w:t>سلبية متوسطة ودالة إحصائيًا</w:t>
      </w:r>
      <w:r>
        <w:rPr>
          <w:rFonts w:asciiTheme="majorBidi" w:hAnsiTheme="majorBidi" w:cstheme="majorBidi"/>
          <w:rtl/>
        </w:rPr>
        <w:t xml:space="preserve"> بين مستوى محو الأمية في الصحة النفسية ومستوى الوصمة تجاه المرض النفسي لدى أفراد العينة، حيث بلغ معامل الارتباط</w:t>
      </w:r>
      <w:r>
        <w:rPr>
          <w:rFonts w:asciiTheme="majorBidi" w:hAnsiTheme="majorBidi" w:cstheme="majorBidi"/>
        </w:rPr>
        <w:t xml:space="preserve"> (r = -0.414)</w:t>
      </w:r>
      <w:r>
        <w:rPr>
          <w:rFonts w:asciiTheme="majorBidi" w:hAnsiTheme="majorBidi" w:cstheme="majorBidi"/>
          <w:rtl/>
        </w:rPr>
        <w:t xml:space="preserve">، </w:t>
      </w:r>
      <w:r>
        <w:rPr>
          <w:rFonts w:asciiTheme="majorBidi" w:hAnsiTheme="majorBidi" w:cstheme="majorBidi"/>
        </w:rPr>
        <w:t>(p = 0.000)</w:t>
      </w:r>
      <w:r>
        <w:rPr>
          <w:rFonts w:asciiTheme="majorBidi" w:hAnsiTheme="majorBidi" w:cstheme="majorBidi"/>
          <w:rtl/>
        </w:rPr>
        <w:t>، مما يشير إلى أنه كلما ارتفع مستوى الوعي والمعرفة بالصحة النفسية لدى الأفراد، انخفضت مستويات الوصمة الاجتماعية تجاه المصابين بالاضطرابات النفسية</w:t>
      </w:r>
      <w:r>
        <w:rPr>
          <w:rFonts w:asciiTheme="majorBidi" w:hAnsiTheme="majorBidi" w:cstheme="majorBidi"/>
        </w:rPr>
        <w:t>.</w:t>
      </w:r>
    </w:p>
    <w:p w14:paraId="1A0B806A">
      <w:pPr>
        <w:bidi/>
        <w:spacing w:before="100" w:beforeAutospacing="1" w:after="100" w:afterAutospacing="1" w:line="360" w:lineRule="auto"/>
        <w:jc w:val="lowKashida"/>
        <w:rPr>
          <w:rFonts w:asciiTheme="majorBidi" w:hAnsiTheme="majorBidi" w:cstheme="majorBidi"/>
        </w:rPr>
      </w:pPr>
      <w:r>
        <w:rPr>
          <w:rFonts w:asciiTheme="majorBidi" w:hAnsiTheme="majorBidi" w:cstheme="majorBidi"/>
          <w:rtl/>
        </w:rPr>
        <w:t>ويُفسَّر ذلك بأن ارتفاع محو الأمية النفسية يسهم في تصحيح المفاهيم الخاطئة حول المرض النفسي، ويعزز الفهم العلمي لطبيعته وأسبابه وإمكانية علاجه، مما يقلل من التفسيرات السلبية المرتبطة به مثل الخوف أو الوصم أو الربط بين المرض النفسي وضعف الشخصية، وبالتالي يؤدي إلى تكوين اتجاهات أكثر إيجابية وتقبّلًا تجاه الأفراد المصابين</w:t>
      </w:r>
      <w:r>
        <w:rPr>
          <w:rFonts w:asciiTheme="majorBidi" w:hAnsiTheme="majorBidi" w:cstheme="majorBidi"/>
        </w:rPr>
        <w:t>.</w:t>
      </w:r>
    </w:p>
    <w:p w14:paraId="27E4A69E">
      <w:pPr>
        <w:bidi/>
        <w:spacing w:before="100" w:beforeAutospacing="1" w:after="100" w:afterAutospacing="1" w:line="360" w:lineRule="auto"/>
        <w:jc w:val="lowKashida"/>
        <w:rPr>
          <w:rFonts w:asciiTheme="majorBidi" w:hAnsiTheme="majorBidi" w:cstheme="majorBidi"/>
          <w:rtl/>
        </w:rPr>
      </w:pPr>
      <w:r>
        <w:rPr>
          <w:rFonts w:asciiTheme="majorBidi" w:hAnsiTheme="majorBidi" w:cstheme="majorBidi"/>
          <w:rtl/>
        </w:rPr>
        <w:t>وترى الباحثة أن هذه النتيجة تؤكد أهمية تعزيز محو الأمية في الصحة النفسية كمدخل أساسي للحد من الوصمة الاجتماعية، من خلال برامج التوعية والإرشاد النفسي في المجتمع، لما لذلك من دور في تحسين الاتجاهات العامة نحو المرض النفسي وتشجيع الأفراد على طلب المساعدة دون خوف أو تمييز</w:t>
      </w:r>
      <w:r>
        <w:rPr>
          <w:rFonts w:asciiTheme="majorBidi" w:hAnsiTheme="majorBidi" w:cstheme="majorBidi"/>
        </w:rPr>
        <w:t>.</w:t>
      </w:r>
    </w:p>
    <w:p w14:paraId="778DEFEF">
      <w:pPr>
        <w:bidi/>
        <w:spacing w:before="100" w:beforeAutospacing="1" w:after="100" w:afterAutospacing="1" w:line="360" w:lineRule="auto"/>
        <w:jc w:val="lowKashida"/>
        <w:rPr>
          <w:rFonts w:asciiTheme="majorBidi" w:hAnsiTheme="majorBidi" w:cstheme="majorBidi"/>
          <w:b/>
          <w:bCs/>
          <w:rtl/>
        </w:rPr>
      </w:pPr>
      <w:r>
        <w:rPr>
          <w:rFonts w:asciiTheme="majorBidi" w:hAnsiTheme="majorBidi" w:cstheme="majorBidi"/>
          <w:b/>
          <w:bCs/>
          <w:rtl/>
        </w:rPr>
        <w:t>التوصيات</w:t>
      </w:r>
    </w:p>
    <w:p w14:paraId="54FEDA80">
      <w:pPr>
        <w:pStyle w:val="19"/>
        <w:numPr>
          <w:ilvl w:val="0"/>
          <w:numId w:val="6"/>
        </w:numPr>
        <w:bidi/>
        <w:spacing w:before="100" w:beforeAutospacing="1" w:after="100" w:afterAutospacing="1" w:line="360" w:lineRule="auto"/>
        <w:ind w:left="360"/>
        <w:jc w:val="lowKashida"/>
        <w:rPr>
          <w:rFonts w:asciiTheme="majorBidi" w:hAnsiTheme="majorBidi" w:cstheme="majorBidi"/>
        </w:rPr>
      </w:pPr>
      <w:r>
        <w:rPr>
          <w:rFonts w:asciiTheme="majorBidi" w:hAnsiTheme="majorBidi" w:cstheme="majorBidi"/>
        </w:rPr>
        <w:t xml:space="preserve">  </w:t>
      </w:r>
      <w:r>
        <w:rPr>
          <w:rFonts w:asciiTheme="majorBidi" w:hAnsiTheme="majorBidi" w:cstheme="majorBidi"/>
          <w:rtl/>
        </w:rPr>
        <w:t>تنظيم حملات توعوية مجتمعية دورية في المدارس والجامعات ومراكز الشباب لرفع محو الأمية بالصحة النفسية وتصحيح المفاهيم الخاطئة</w:t>
      </w:r>
      <w:r>
        <w:rPr>
          <w:rFonts w:asciiTheme="majorBidi" w:hAnsiTheme="majorBidi" w:cstheme="majorBidi"/>
        </w:rPr>
        <w:t xml:space="preserve">. </w:t>
      </w:r>
      <w:r>
        <w:rPr>
          <w:rFonts w:asciiTheme="majorBidi" w:hAnsiTheme="majorBidi" w:cstheme="majorBidi"/>
          <w:rtl/>
        </w:rPr>
        <w:t xml:space="preserve"> </w:t>
      </w:r>
    </w:p>
    <w:p w14:paraId="50115370">
      <w:pPr>
        <w:pStyle w:val="19"/>
        <w:numPr>
          <w:ilvl w:val="0"/>
          <w:numId w:val="6"/>
        </w:numPr>
        <w:bidi/>
        <w:spacing w:before="100" w:beforeAutospacing="1" w:after="100" w:afterAutospacing="1" w:line="360" w:lineRule="auto"/>
        <w:ind w:left="360"/>
        <w:jc w:val="lowKashida"/>
        <w:rPr>
          <w:rFonts w:asciiTheme="majorBidi" w:hAnsiTheme="majorBidi" w:cstheme="majorBidi"/>
        </w:rPr>
      </w:pPr>
      <w:r>
        <w:rPr>
          <w:rFonts w:asciiTheme="majorBidi" w:hAnsiTheme="majorBidi" w:cstheme="majorBidi"/>
        </w:rPr>
        <w:t xml:space="preserve">  </w:t>
      </w:r>
      <w:r>
        <w:rPr>
          <w:rFonts w:asciiTheme="majorBidi" w:hAnsiTheme="majorBidi" w:cstheme="majorBidi"/>
          <w:rtl/>
        </w:rPr>
        <w:t>إدماج مفاهيم الصحة النفسية في المناهج الدراسية من خلال وحدات تعليمية قابلة للتطبيق داخل المدارس</w:t>
      </w:r>
      <w:r>
        <w:rPr>
          <w:rFonts w:asciiTheme="majorBidi" w:hAnsiTheme="majorBidi" w:cstheme="majorBidi"/>
        </w:rPr>
        <w:t xml:space="preserve">. </w:t>
      </w:r>
    </w:p>
    <w:p w14:paraId="43BAE1F4">
      <w:pPr>
        <w:pStyle w:val="19"/>
        <w:numPr>
          <w:ilvl w:val="0"/>
          <w:numId w:val="6"/>
        </w:numPr>
        <w:bidi/>
        <w:spacing w:before="100" w:beforeAutospacing="1" w:after="100" w:afterAutospacing="1" w:line="360" w:lineRule="auto"/>
        <w:ind w:left="360"/>
        <w:jc w:val="lowKashida"/>
        <w:rPr>
          <w:rFonts w:asciiTheme="majorBidi" w:hAnsiTheme="majorBidi" w:cstheme="majorBidi"/>
        </w:rPr>
      </w:pPr>
      <w:r>
        <w:rPr>
          <w:rFonts w:asciiTheme="majorBidi" w:hAnsiTheme="majorBidi" w:cstheme="majorBidi"/>
        </w:rPr>
        <w:t xml:space="preserve">  </w:t>
      </w:r>
      <w:r>
        <w:rPr>
          <w:rFonts w:asciiTheme="majorBidi" w:hAnsiTheme="majorBidi" w:cstheme="majorBidi"/>
          <w:rtl/>
        </w:rPr>
        <w:t>عقد ورش عمل تدريبية تطبيقية بإشراف مختصين في الصحة النفسية تستهدف فئات المجتمع المختلفة</w:t>
      </w:r>
      <w:r>
        <w:rPr>
          <w:rFonts w:hint="cs" w:asciiTheme="majorBidi" w:hAnsiTheme="majorBidi" w:cstheme="majorBidi"/>
          <w:rtl/>
        </w:rPr>
        <w:t>.</w:t>
      </w:r>
    </w:p>
    <w:p w14:paraId="3BA01484">
      <w:pPr>
        <w:pStyle w:val="19"/>
        <w:numPr>
          <w:ilvl w:val="0"/>
          <w:numId w:val="6"/>
        </w:numPr>
        <w:bidi/>
        <w:spacing w:before="100" w:beforeAutospacing="1" w:after="100" w:afterAutospacing="1" w:line="360" w:lineRule="auto"/>
        <w:ind w:left="360"/>
        <w:jc w:val="lowKashida"/>
        <w:rPr>
          <w:rFonts w:asciiTheme="majorBidi" w:hAnsiTheme="majorBidi" w:cstheme="majorBidi"/>
        </w:rPr>
      </w:pPr>
      <w:r>
        <w:rPr>
          <w:rFonts w:asciiTheme="majorBidi" w:hAnsiTheme="majorBidi" w:cstheme="majorBidi"/>
        </w:rPr>
        <w:t xml:space="preserve">  </w:t>
      </w:r>
      <w:r>
        <w:rPr>
          <w:rFonts w:asciiTheme="majorBidi" w:hAnsiTheme="majorBidi" w:cstheme="majorBidi"/>
          <w:rtl/>
        </w:rPr>
        <w:t>تنفيذ برامج مجتمعية تفاعلية (جلسات حوار، قصص تعافٍ، لقاءات مع مختصين) عبر مراكز المجتمع المحلي ووسائل الإعلام للحد من الوصمة</w:t>
      </w:r>
      <w:r>
        <w:rPr>
          <w:rFonts w:asciiTheme="majorBidi" w:hAnsiTheme="majorBidi" w:cstheme="majorBidi"/>
        </w:rPr>
        <w:t>.</w:t>
      </w:r>
    </w:p>
    <w:p w14:paraId="0A7E127B">
      <w:pPr>
        <w:bidi/>
        <w:spacing w:before="100" w:beforeAutospacing="1" w:after="100" w:afterAutospacing="1" w:line="360" w:lineRule="auto"/>
        <w:jc w:val="lowKashida"/>
        <w:rPr>
          <w:rFonts w:asciiTheme="majorBidi" w:hAnsiTheme="majorBidi" w:cstheme="majorBidi"/>
        </w:rPr>
      </w:pPr>
    </w:p>
    <w:p w14:paraId="34EAA489">
      <w:pPr>
        <w:bidi/>
        <w:spacing w:before="100" w:beforeAutospacing="1" w:after="100" w:afterAutospacing="1" w:line="360" w:lineRule="auto"/>
        <w:jc w:val="lowKashida"/>
        <w:rPr>
          <w:rFonts w:asciiTheme="majorBidi" w:hAnsiTheme="majorBidi" w:cstheme="majorBidi"/>
        </w:rPr>
      </w:pPr>
    </w:p>
    <w:p w14:paraId="0CD6E069">
      <w:pPr>
        <w:bidi/>
        <w:spacing w:before="100" w:beforeAutospacing="1" w:after="100" w:afterAutospacing="1" w:line="360" w:lineRule="auto"/>
        <w:jc w:val="lowKashida"/>
        <w:rPr>
          <w:rFonts w:asciiTheme="majorBidi" w:hAnsiTheme="majorBidi" w:cstheme="majorBidi"/>
        </w:rPr>
      </w:pPr>
    </w:p>
    <w:p w14:paraId="041A432C">
      <w:pPr>
        <w:bidi/>
        <w:spacing w:before="100" w:beforeAutospacing="1" w:after="100" w:afterAutospacing="1" w:line="360" w:lineRule="auto"/>
        <w:jc w:val="lowKashida"/>
        <w:rPr>
          <w:rFonts w:asciiTheme="majorBidi" w:hAnsiTheme="majorBidi" w:cstheme="majorBidi"/>
        </w:rPr>
      </w:pPr>
    </w:p>
    <w:p w14:paraId="66CB80E0">
      <w:pPr>
        <w:bidi/>
        <w:spacing w:before="100" w:beforeAutospacing="1" w:after="100" w:afterAutospacing="1" w:line="360" w:lineRule="auto"/>
        <w:jc w:val="lowKashida"/>
        <w:rPr>
          <w:rFonts w:asciiTheme="majorBidi" w:hAnsiTheme="majorBidi" w:cstheme="majorBidi"/>
        </w:rPr>
      </w:pPr>
    </w:p>
    <w:p w14:paraId="42CFEBAE">
      <w:pPr>
        <w:spacing w:line="360" w:lineRule="auto"/>
        <w:ind w:left="630" w:hanging="540"/>
        <w:jc w:val="lowKashida"/>
        <w:rPr>
          <w:rFonts w:asciiTheme="majorBidi" w:hAnsiTheme="majorBidi" w:cstheme="majorBidi"/>
          <w:b/>
          <w:bCs/>
          <w:sz w:val="20"/>
          <w:szCs w:val="20"/>
          <w:u w:val="single"/>
          <w:lang w:bidi="ar-JO"/>
        </w:rPr>
      </w:pPr>
      <w:r>
        <w:rPr>
          <w:rFonts w:asciiTheme="majorBidi" w:hAnsiTheme="majorBidi" w:cstheme="majorBidi"/>
          <w:b/>
          <w:bCs/>
          <w:sz w:val="20"/>
          <w:szCs w:val="20"/>
          <w:u w:val="single"/>
          <w:lang w:bidi="ar-JO"/>
        </w:rPr>
        <w:t>References</w:t>
      </w:r>
      <w:r>
        <w:rPr>
          <w:rFonts w:asciiTheme="majorBidi" w:hAnsiTheme="majorBidi" w:cstheme="majorBidi"/>
          <w:b/>
          <w:bCs/>
          <w:sz w:val="20"/>
          <w:szCs w:val="20"/>
          <w:u w:val="single"/>
          <w:rtl/>
          <w:lang w:bidi="ar-JO"/>
        </w:rPr>
        <w:t xml:space="preserve"> </w:t>
      </w:r>
    </w:p>
    <w:p w14:paraId="6C42F57B">
      <w:pPr>
        <w:spacing w:line="360" w:lineRule="auto"/>
        <w:ind w:left="720" w:hanging="720"/>
        <w:jc w:val="lowKashida"/>
        <w:rPr>
          <w:rFonts w:asciiTheme="majorBidi" w:hAnsiTheme="majorBidi" w:cstheme="majorBidi"/>
          <w:b/>
          <w:bCs/>
          <w:sz w:val="20"/>
          <w:szCs w:val="20"/>
          <w:u w:val="single"/>
          <w:lang w:bidi="ar-JO"/>
        </w:rPr>
      </w:pPr>
      <w:r>
        <w:rPr>
          <w:rFonts w:asciiTheme="majorBidi" w:hAnsiTheme="majorBidi" w:cstheme="majorBidi"/>
          <w:sz w:val="20"/>
          <w:szCs w:val="20"/>
          <w:lang w:bidi="ar-JO"/>
        </w:rPr>
        <w:t>Al-Qerem, W., Jarab, A., Khdour, M., Eberhardt, J., Alasmari, F., Hammad, A., ... &amp; Khalil, S. (2024). Assessing mental health literacy in Jordan: a factor analysis and Rasch analysis study. Frontiers in Public Health, 12, 1396255.</w:t>
      </w:r>
      <w:r>
        <w:rPr>
          <w:rFonts w:asciiTheme="majorBidi" w:hAnsiTheme="majorBidi" w:cstheme="majorBidi"/>
          <w:sz w:val="20"/>
          <w:szCs w:val="20"/>
          <w:rtl/>
          <w:lang w:bidi="ar-JO"/>
        </w:rPr>
        <w:t>‏</w:t>
      </w:r>
    </w:p>
    <w:p w14:paraId="5FD04E04">
      <w:pPr>
        <w:spacing w:line="360" w:lineRule="auto"/>
        <w:ind w:left="720" w:hanging="720"/>
        <w:jc w:val="lowKashida"/>
        <w:rPr>
          <w:rFonts w:asciiTheme="majorBidi" w:hAnsiTheme="majorBidi" w:cstheme="majorBidi"/>
          <w:sz w:val="20"/>
          <w:szCs w:val="20"/>
          <w:lang w:bidi="ar-JO"/>
        </w:rPr>
      </w:pPr>
      <w:r>
        <w:rPr>
          <w:rFonts w:asciiTheme="majorBidi" w:hAnsiTheme="majorBidi" w:cstheme="majorBidi"/>
          <w:sz w:val="20"/>
          <w:szCs w:val="20"/>
          <w:lang w:bidi="ar-JO"/>
        </w:rPr>
        <w:t>Dmour, HH, Marashdeh, MF, Al-Zubi, AK, Obaisat, MA, and Al-Alwan, MM. Stigma of mental illness in Jordan. </w:t>
      </w:r>
      <w:r>
        <w:rPr>
          <w:rFonts w:asciiTheme="majorBidi" w:hAnsiTheme="majorBidi" w:cstheme="majorBidi"/>
          <w:i/>
          <w:iCs/>
          <w:sz w:val="20"/>
          <w:szCs w:val="20"/>
          <w:lang w:bidi="ar-JO"/>
        </w:rPr>
        <w:t>J. R. Med. Serv.</w:t>
      </w:r>
      <w:r>
        <w:rPr>
          <w:rFonts w:asciiTheme="majorBidi" w:hAnsiTheme="majorBidi" w:cstheme="majorBidi"/>
          <w:sz w:val="20"/>
          <w:szCs w:val="20"/>
          <w:lang w:bidi="ar-JO"/>
        </w:rPr>
        <w:t> (2020) 27:70–5. doi: 10.12816/0055469</w:t>
      </w:r>
    </w:p>
    <w:p w14:paraId="554DE3AA">
      <w:pPr>
        <w:spacing w:line="360" w:lineRule="auto"/>
        <w:ind w:left="720" w:hanging="720"/>
        <w:jc w:val="lowKashida"/>
        <w:rPr>
          <w:rFonts w:asciiTheme="majorBidi" w:hAnsiTheme="majorBidi" w:cstheme="majorBidi"/>
          <w:sz w:val="20"/>
          <w:szCs w:val="20"/>
        </w:rPr>
      </w:pPr>
      <w:r>
        <w:rPr>
          <w:rFonts w:asciiTheme="majorBidi" w:hAnsiTheme="majorBidi" w:cstheme="majorBidi"/>
          <w:i/>
          <w:iCs/>
          <w:sz w:val="20"/>
          <w:szCs w:val="20"/>
        </w:rPr>
        <w:t>England: A population-based analysis</w:t>
      </w:r>
      <w:r>
        <w:rPr>
          <w:rFonts w:asciiTheme="majorBidi" w:hAnsiTheme="majorBidi" w:cstheme="majorBidi"/>
          <w:sz w:val="20"/>
          <w:szCs w:val="20"/>
        </w:rPr>
        <w:t>. King’s College London &amp; Mind Report.</w:t>
      </w:r>
    </w:p>
    <w:p w14:paraId="2823E666">
      <w:pPr>
        <w:spacing w:line="360" w:lineRule="auto"/>
        <w:ind w:left="720" w:hanging="720"/>
        <w:jc w:val="lowKashida"/>
        <w:rPr>
          <w:rFonts w:asciiTheme="majorBidi" w:hAnsiTheme="majorBidi" w:cstheme="majorBidi"/>
          <w:sz w:val="20"/>
          <w:szCs w:val="20"/>
          <w:rtl/>
        </w:rPr>
      </w:pPr>
      <w:r>
        <w:rPr>
          <w:rFonts w:asciiTheme="majorBidi" w:hAnsiTheme="majorBidi" w:cstheme="majorBidi"/>
          <w:sz w:val="20"/>
          <w:szCs w:val="20"/>
        </w:rPr>
        <w:t>Gere, B., &amp; Salimi, N. (2025). Mental Health Literacy, Stigma, and Help-Seeking Behavior Among Black Male College Students in Historically Black Universities. American Journal of Men's Health, 19(1), 15579883251318214.</w:t>
      </w:r>
      <w:r>
        <w:rPr>
          <w:rFonts w:asciiTheme="majorBidi" w:hAnsiTheme="majorBidi" w:cstheme="majorBidi"/>
          <w:sz w:val="20"/>
          <w:szCs w:val="20"/>
          <w:rtl/>
        </w:rPr>
        <w:t>‏</w:t>
      </w:r>
    </w:p>
    <w:p w14:paraId="044A9147">
      <w:pPr>
        <w:spacing w:line="360" w:lineRule="auto"/>
        <w:ind w:left="720" w:hanging="720"/>
        <w:jc w:val="lowKashida"/>
        <w:rPr>
          <w:rFonts w:asciiTheme="majorBidi" w:hAnsiTheme="majorBidi" w:cstheme="majorBidi"/>
          <w:sz w:val="20"/>
          <w:szCs w:val="20"/>
          <w:lang w:bidi="ar-JO"/>
        </w:rPr>
      </w:pPr>
      <w:r>
        <w:rPr>
          <w:rFonts w:asciiTheme="majorBidi" w:hAnsiTheme="majorBidi" w:cstheme="majorBidi"/>
          <w:sz w:val="20"/>
          <w:szCs w:val="20"/>
          <w:lang w:bidi="ar-JO"/>
        </w:rPr>
        <w:t>Gorczynski, P., &amp; Sims-Schouten, W. (2024). Evaluating mental health literacy amongst US college students: a cross sectional study. Journal of American college health, 72(3), 676-679.</w:t>
      </w:r>
      <w:r>
        <w:rPr>
          <w:rFonts w:asciiTheme="majorBidi" w:hAnsiTheme="majorBidi" w:cstheme="majorBidi"/>
          <w:sz w:val="20"/>
          <w:szCs w:val="20"/>
          <w:rtl/>
          <w:lang w:bidi="ar-JO"/>
        </w:rPr>
        <w:t>‏</w:t>
      </w:r>
    </w:p>
    <w:p w14:paraId="3BB40970">
      <w:pPr>
        <w:spacing w:line="360" w:lineRule="auto"/>
        <w:ind w:left="720" w:hanging="720"/>
        <w:jc w:val="lowKashida"/>
        <w:rPr>
          <w:rFonts w:asciiTheme="majorBidi" w:hAnsiTheme="majorBidi" w:cstheme="majorBidi"/>
          <w:sz w:val="20"/>
          <w:szCs w:val="20"/>
          <w:rtl/>
        </w:rPr>
      </w:pPr>
      <w:r>
        <w:rPr>
          <w:rFonts w:asciiTheme="majorBidi" w:hAnsiTheme="majorBidi" w:cstheme="majorBidi"/>
          <w:sz w:val="20"/>
          <w:szCs w:val="20"/>
        </w:rPr>
        <w:t>Khatib, H. E., Alyafei, A., &amp; Shaikh, M. (2023). Understanding experiences of mental health help-seeking in Arab populations around the world: a systematic review and narrative synthesis. </w:t>
      </w:r>
      <w:r>
        <w:rPr>
          <w:rFonts w:asciiTheme="majorBidi" w:hAnsiTheme="majorBidi" w:cstheme="majorBidi"/>
          <w:i/>
          <w:iCs/>
          <w:sz w:val="20"/>
          <w:szCs w:val="20"/>
        </w:rPr>
        <w:t>BMC psychiatry</w:t>
      </w:r>
      <w:r>
        <w:rPr>
          <w:rFonts w:asciiTheme="majorBidi" w:hAnsiTheme="majorBidi" w:cstheme="majorBidi"/>
          <w:sz w:val="20"/>
          <w:szCs w:val="20"/>
        </w:rPr>
        <w:t>, </w:t>
      </w:r>
      <w:r>
        <w:rPr>
          <w:rFonts w:asciiTheme="majorBidi" w:hAnsiTheme="majorBidi" w:cstheme="majorBidi"/>
          <w:i/>
          <w:iCs/>
          <w:sz w:val="20"/>
          <w:szCs w:val="20"/>
        </w:rPr>
        <w:t>23</w:t>
      </w:r>
      <w:r>
        <w:rPr>
          <w:rFonts w:asciiTheme="majorBidi" w:hAnsiTheme="majorBidi" w:cstheme="majorBidi"/>
          <w:sz w:val="20"/>
          <w:szCs w:val="20"/>
        </w:rPr>
        <w:t>(1), 324.</w:t>
      </w:r>
      <w:r>
        <w:rPr>
          <w:rFonts w:asciiTheme="majorBidi" w:hAnsiTheme="majorBidi" w:cstheme="majorBidi"/>
          <w:sz w:val="20"/>
          <w:szCs w:val="20"/>
          <w:rtl/>
        </w:rPr>
        <w:t>‏</w:t>
      </w:r>
    </w:p>
    <w:p w14:paraId="04DAF3D2">
      <w:pPr>
        <w:spacing w:line="360" w:lineRule="auto"/>
        <w:ind w:left="720" w:hanging="720"/>
        <w:jc w:val="lowKashida"/>
        <w:rPr>
          <w:rFonts w:asciiTheme="majorBidi" w:hAnsiTheme="majorBidi" w:cstheme="majorBidi"/>
          <w:sz w:val="20"/>
          <w:szCs w:val="20"/>
        </w:rPr>
      </w:pPr>
      <w:r>
        <w:rPr>
          <w:rFonts w:asciiTheme="majorBidi" w:hAnsiTheme="majorBidi" w:cstheme="majorBidi"/>
          <w:sz w:val="20"/>
          <w:szCs w:val="20"/>
        </w:rPr>
        <w:t>Koutra, K., Pantelaiou, V., &amp; Mavroeides, G. (2024). Breaking barriers: Unraveling the connection between mental health literacy, attitudes towards mental illness, and self-stigma of psychological help-seeking in university students. </w:t>
      </w:r>
      <w:r>
        <w:rPr>
          <w:rFonts w:asciiTheme="majorBidi" w:hAnsiTheme="majorBidi" w:cstheme="majorBidi"/>
          <w:i/>
          <w:iCs/>
          <w:sz w:val="20"/>
          <w:szCs w:val="20"/>
        </w:rPr>
        <w:t>Psychology International</w:t>
      </w:r>
      <w:r>
        <w:rPr>
          <w:rFonts w:asciiTheme="majorBidi" w:hAnsiTheme="majorBidi" w:cstheme="majorBidi"/>
          <w:sz w:val="20"/>
          <w:szCs w:val="20"/>
        </w:rPr>
        <w:t>, </w:t>
      </w:r>
      <w:r>
        <w:rPr>
          <w:rFonts w:asciiTheme="majorBidi" w:hAnsiTheme="majorBidi" w:cstheme="majorBidi"/>
          <w:i/>
          <w:iCs/>
          <w:sz w:val="20"/>
          <w:szCs w:val="20"/>
        </w:rPr>
        <w:t>6</w:t>
      </w:r>
      <w:r>
        <w:rPr>
          <w:rFonts w:asciiTheme="majorBidi" w:hAnsiTheme="majorBidi" w:cstheme="majorBidi"/>
          <w:sz w:val="20"/>
          <w:szCs w:val="20"/>
        </w:rPr>
        <w:t>(2), 590-602.</w:t>
      </w:r>
      <w:r>
        <w:rPr>
          <w:rFonts w:asciiTheme="majorBidi" w:hAnsiTheme="majorBidi" w:cstheme="majorBidi"/>
          <w:sz w:val="20"/>
          <w:szCs w:val="20"/>
          <w:rtl/>
        </w:rPr>
        <w:t>‏</w:t>
      </w:r>
    </w:p>
    <w:p w14:paraId="5EC86281">
      <w:pPr>
        <w:spacing w:line="360" w:lineRule="auto"/>
        <w:ind w:left="720" w:hanging="720"/>
        <w:jc w:val="lowKashida"/>
        <w:rPr>
          <w:rFonts w:asciiTheme="majorBidi" w:hAnsiTheme="majorBidi" w:cstheme="majorBidi"/>
          <w:sz w:val="20"/>
          <w:szCs w:val="20"/>
        </w:rPr>
      </w:pPr>
      <w:r>
        <w:rPr>
          <w:rFonts w:asciiTheme="majorBidi" w:hAnsiTheme="majorBidi" w:cstheme="majorBidi"/>
          <w:sz w:val="20"/>
          <w:szCs w:val="20"/>
          <w:lang w:bidi="ar-JO"/>
        </w:rPr>
        <w:t>Nogueira, M. J., Sas, S., Rodríguez, L., Carbonero, A., Bello, U., Nascimento, L., ... &amp; Teixeira, D. (2025). The Mental Health Literacy and Stigma Scale—Bilingual Cultural Adaptation: Validity and Reliability Pilot Study in Nursing Students. </w:t>
      </w:r>
      <w:r>
        <w:rPr>
          <w:rFonts w:asciiTheme="majorBidi" w:hAnsiTheme="majorBidi" w:cstheme="majorBidi"/>
          <w:i/>
          <w:iCs/>
          <w:sz w:val="20"/>
          <w:szCs w:val="20"/>
          <w:lang w:bidi="ar-JO"/>
        </w:rPr>
        <w:t>Nursing Open</w:t>
      </w:r>
      <w:r>
        <w:rPr>
          <w:rFonts w:asciiTheme="majorBidi" w:hAnsiTheme="majorBidi" w:cstheme="majorBidi"/>
          <w:sz w:val="20"/>
          <w:szCs w:val="20"/>
          <w:lang w:bidi="ar-JO"/>
        </w:rPr>
        <w:t>, </w:t>
      </w:r>
      <w:r>
        <w:rPr>
          <w:rFonts w:asciiTheme="majorBidi" w:hAnsiTheme="majorBidi" w:cstheme="majorBidi"/>
          <w:i/>
          <w:iCs/>
          <w:sz w:val="20"/>
          <w:szCs w:val="20"/>
          <w:lang w:bidi="ar-JO"/>
        </w:rPr>
        <w:t>12</w:t>
      </w:r>
      <w:r>
        <w:rPr>
          <w:rFonts w:asciiTheme="majorBidi" w:hAnsiTheme="majorBidi" w:cstheme="majorBidi"/>
          <w:sz w:val="20"/>
          <w:szCs w:val="20"/>
          <w:lang w:bidi="ar-JO"/>
        </w:rPr>
        <w:t>(1), e70073.</w:t>
      </w:r>
      <w:r>
        <w:rPr>
          <w:rFonts w:asciiTheme="majorBidi" w:hAnsiTheme="majorBidi" w:cstheme="majorBidi"/>
          <w:sz w:val="20"/>
          <w:szCs w:val="20"/>
          <w:rtl/>
        </w:rPr>
        <w:t>‏</w:t>
      </w:r>
    </w:p>
    <w:p w14:paraId="4877D6F0">
      <w:pPr>
        <w:spacing w:line="360" w:lineRule="auto"/>
        <w:ind w:left="720" w:hanging="720"/>
        <w:jc w:val="lowKashida"/>
        <w:rPr>
          <w:rFonts w:asciiTheme="majorBidi" w:hAnsiTheme="majorBidi" w:cstheme="majorBidi"/>
          <w:sz w:val="20"/>
          <w:szCs w:val="20"/>
        </w:rPr>
      </w:pPr>
      <w:r>
        <w:rPr>
          <w:rFonts w:asciiTheme="majorBidi" w:hAnsiTheme="majorBidi" w:cstheme="majorBidi"/>
          <w:sz w:val="20"/>
          <w:szCs w:val="20"/>
          <w:lang w:bidi="ar-JO"/>
        </w:rPr>
        <w:t xml:space="preserve">Osebhahiemen, A., Aisiku, E., Peter, K., &amp; Imarenezor, E. P. K. (2025). </w:t>
      </w:r>
      <w:r>
        <w:rPr>
          <w:rFonts w:asciiTheme="majorBidi" w:hAnsiTheme="majorBidi" w:cstheme="majorBidi"/>
          <w:i/>
          <w:iCs/>
          <w:sz w:val="20"/>
          <w:szCs w:val="20"/>
          <w:lang w:bidi="ar-JO"/>
        </w:rPr>
        <w:t>Mental health literacy, stigma, and help-seeking behavior: A study among teenagers in Rumuolumeni, Rivers State</w:t>
      </w:r>
      <w:r>
        <w:rPr>
          <w:rFonts w:asciiTheme="majorBidi" w:hAnsiTheme="majorBidi" w:cstheme="majorBidi"/>
          <w:sz w:val="20"/>
          <w:szCs w:val="20"/>
          <w:lang w:bidi="ar-JO"/>
        </w:rPr>
        <w:t xml:space="preserve">. African Journal of Medicine, Surgery and Public Health Research, 2(2), 150–180. </w:t>
      </w:r>
      <w:r>
        <w:fldChar w:fldCharType="begin"/>
      </w:r>
      <w:r>
        <w:instrText xml:space="preserve"> HYPERLINK "https://doi.org/10.58578/AJMSPHR.v2i2.5256" </w:instrText>
      </w:r>
      <w:r>
        <w:fldChar w:fldCharType="separate"/>
      </w:r>
      <w:r>
        <w:rPr>
          <w:rStyle w:val="9"/>
          <w:rFonts w:asciiTheme="majorBidi" w:hAnsiTheme="majorBidi" w:cstheme="majorBidi"/>
          <w:sz w:val="20"/>
          <w:szCs w:val="20"/>
          <w:lang w:bidi="ar-JO"/>
        </w:rPr>
        <w:t>https://doi.org/10.58578/AJMSPHR.v2i2.5256</w:t>
      </w:r>
      <w:r>
        <w:rPr>
          <w:rStyle w:val="9"/>
          <w:rFonts w:asciiTheme="majorBidi" w:hAnsiTheme="majorBidi" w:cstheme="majorBidi"/>
          <w:sz w:val="20"/>
          <w:szCs w:val="20"/>
          <w:lang w:bidi="ar-JO"/>
        </w:rPr>
        <w:fldChar w:fldCharType="end"/>
      </w:r>
      <w:r>
        <w:rPr>
          <w:rFonts w:asciiTheme="majorBidi" w:hAnsiTheme="majorBidi" w:cstheme="majorBidi"/>
          <w:sz w:val="20"/>
          <w:szCs w:val="20"/>
          <w:rtl/>
          <w:lang w:bidi="ar-JO"/>
        </w:rPr>
        <w:t xml:space="preserve"> </w:t>
      </w:r>
    </w:p>
    <w:p w14:paraId="387D9A7E">
      <w:pPr>
        <w:tabs>
          <w:tab w:val="left" w:pos="1440"/>
        </w:tabs>
        <w:spacing w:before="240" w:line="360" w:lineRule="auto"/>
        <w:ind w:left="720" w:hanging="720"/>
        <w:jc w:val="lowKashida"/>
        <w:rPr>
          <w:rFonts w:asciiTheme="majorBidi" w:hAnsiTheme="majorBidi" w:cstheme="majorBidi"/>
          <w:sz w:val="20"/>
          <w:szCs w:val="20"/>
          <w:rtl/>
        </w:rPr>
      </w:pPr>
      <w:r>
        <w:rPr>
          <w:rFonts w:asciiTheme="majorBidi" w:hAnsiTheme="majorBidi" w:cstheme="majorBidi"/>
          <w:sz w:val="20"/>
          <w:szCs w:val="20"/>
        </w:rPr>
        <w:t>Özer, D., &amp; Altun, Ö. Ş. (2024). Nursing students' mental health literacy and resilience levels: A cross-sectional study. </w:t>
      </w:r>
      <w:r>
        <w:rPr>
          <w:rFonts w:asciiTheme="majorBidi" w:hAnsiTheme="majorBidi" w:cstheme="majorBidi"/>
          <w:i/>
          <w:iCs/>
          <w:sz w:val="20"/>
          <w:szCs w:val="20"/>
        </w:rPr>
        <w:t>Archives of Psychiatric Nursing</w:t>
      </w:r>
      <w:r>
        <w:rPr>
          <w:rFonts w:asciiTheme="majorBidi" w:hAnsiTheme="majorBidi" w:cstheme="majorBidi"/>
          <w:sz w:val="20"/>
          <w:szCs w:val="20"/>
        </w:rPr>
        <w:t>, </w:t>
      </w:r>
      <w:r>
        <w:rPr>
          <w:rFonts w:asciiTheme="majorBidi" w:hAnsiTheme="majorBidi" w:cstheme="majorBidi"/>
          <w:i/>
          <w:iCs/>
          <w:sz w:val="20"/>
          <w:szCs w:val="20"/>
        </w:rPr>
        <w:t>51</w:t>
      </w:r>
      <w:r>
        <w:rPr>
          <w:rFonts w:asciiTheme="majorBidi" w:hAnsiTheme="majorBidi" w:cstheme="majorBidi"/>
          <w:sz w:val="20"/>
          <w:szCs w:val="20"/>
        </w:rPr>
        <w:t>, 222-227.</w:t>
      </w:r>
      <w:r>
        <w:rPr>
          <w:rFonts w:asciiTheme="majorBidi" w:hAnsiTheme="majorBidi" w:cstheme="majorBidi"/>
          <w:sz w:val="20"/>
          <w:szCs w:val="20"/>
          <w:rtl/>
        </w:rPr>
        <w:t>‏</w:t>
      </w:r>
    </w:p>
    <w:p w14:paraId="459C9D6E">
      <w:pPr>
        <w:spacing w:line="360" w:lineRule="auto"/>
        <w:ind w:left="720" w:hanging="720"/>
        <w:jc w:val="lowKashida"/>
        <w:rPr>
          <w:rFonts w:asciiTheme="majorBidi" w:hAnsiTheme="majorBidi" w:cstheme="majorBidi"/>
          <w:sz w:val="20"/>
          <w:szCs w:val="20"/>
        </w:rPr>
      </w:pPr>
      <w:r>
        <w:rPr>
          <w:rFonts w:asciiTheme="majorBidi" w:hAnsiTheme="majorBidi" w:cstheme="majorBidi"/>
          <w:sz w:val="20"/>
          <w:szCs w:val="20"/>
        </w:rPr>
        <w:t xml:space="preserve">Patel, V., Saxena, S., &amp; Thornicroft, G. (2024). </w:t>
      </w:r>
      <w:r>
        <w:rPr>
          <w:rFonts w:asciiTheme="majorBidi" w:hAnsiTheme="majorBidi" w:cstheme="majorBidi"/>
          <w:i/>
          <w:iCs/>
          <w:sz w:val="20"/>
          <w:szCs w:val="20"/>
        </w:rPr>
        <w:t>The Lancet Psychiatry Commission on stigma and mental health</w:t>
      </w:r>
      <w:r>
        <w:rPr>
          <w:rFonts w:asciiTheme="majorBidi" w:hAnsiTheme="majorBidi" w:cstheme="majorBidi"/>
          <w:sz w:val="20"/>
          <w:szCs w:val="20"/>
        </w:rPr>
        <w:t>. The Lancet Psychiatry.</w:t>
      </w:r>
    </w:p>
    <w:p w14:paraId="24504DA5">
      <w:pPr>
        <w:spacing w:line="360" w:lineRule="auto"/>
        <w:ind w:left="720" w:hanging="720"/>
        <w:jc w:val="lowKashida"/>
        <w:rPr>
          <w:rFonts w:asciiTheme="majorBidi" w:hAnsiTheme="majorBidi" w:cstheme="majorBidi"/>
          <w:sz w:val="20"/>
          <w:szCs w:val="20"/>
          <w:rtl/>
        </w:rPr>
      </w:pPr>
      <w:r>
        <w:rPr>
          <w:rFonts w:asciiTheme="majorBidi" w:hAnsiTheme="majorBidi" w:cstheme="majorBidi"/>
          <w:sz w:val="20"/>
          <w:szCs w:val="20"/>
          <w:lang w:bidi="ar-JO"/>
        </w:rPr>
        <w:t>Simões de Almeida, R., Trigueiro, M. J., Portugal, P., de Sousa, S., Simões-Silva, V., Campos, F., ... &amp; Marques, A. (2023). Mental health literacy and stigma in a municipality in the north of Portugal: a cross-sectional study. </w:t>
      </w:r>
      <w:r>
        <w:rPr>
          <w:rFonts w:asciiTheme="majorBidi" w:hAnsiTheme="majorBidi" w:cstheme="majorBidi"/>
          <w:i/>
          <w:iCs/>
          <w:sz w:val="20"/>
          <w:szCs w:val="20"/>
          <w:lang w:bidi="ar-JO"/>
        </w:rPr>
        <w:t>International journal of environmental research and public health</w:t>
      </w:r>
      <w:r>
        <w:rPr>
          <w:rFonts w:asciiTheme="majorBidi" w:hAnsiTheme="majorBidi" w:cstheme="majorBidi"/>
          <w:sz w:val="20"/>
          <w:szCs w:val="20"/>
          <w:lang w:bidi="ar-JO"/>
        </w:rPr>
        <w:t>, </w:t>
      </w:r>
      <w:r>
        <w:rPr>
          <w:rFonts w:asciiTheme="majorBidi" w:hAnsiTheme="majorBidi" w:cstheme="majorBidi"/>
          <w:i/>
          <w:iCs/>
          <w:sz w:val="20"/>
          <w:szCs w:val="20"/>
          <w:lang w:bidi="ar-JO"/>
        </w:rPr>
        <w:t>20</w:t>
      </w:r>
      <w:r>
        <w:rPr>
          <w:rFonts w:asciiTheme="majorBidi" w:hAnsiTheme="majorBidi" w:cstheme="majorBidi"/>
          <w:sz w:val="20"/>
          <w:szCs w:val="20"/>
          <w:lang w:bidi="ar-JO"/>
        </w:rPr>
        <w:t>(4), 3318.</w:t>
      </w:r>
      <w:r>
        <w:rPr>
          <w:rFonts w:asciiTheme="majorBidi" w:hAnsiTheme="majorBidi" w:cstheme="majorBidi"/>
          <w:sz w:val="20"/>
          <w:szCs w:val="20"/>
          <w:rtl/>
        </w:rPr>
        <w:t>‏</w:t>
      </w:r>
    </w:p>
    <w:p w14:paraId="37BF6DC3">
      <w:pPr>
        <w:spacing w:line="360" w:lineRule="auto"/>
        <w:ind w:left="720" w:hanging="720"/>
        <w:jc w:val="lowKashida"/>
        <w:rPr>
          <w:rFonts w:asciiTheme="majorBidi" w:hAnsiTheme="majorBidi" w:cstheme="majorBidi"/>
          <w:sz w:val="20"/>
          <w:szCs w:val="20"/>
        </w:rPr>
      </w:pPr>
      <w:r>
        <w:rPr>
          <w:rFonts w:asciiTheme="majorBidi" w:hAnsiTheme="majorBidi" w:cstheme="majorBidi"/>
          <w:sz w:val="20"/>
          <w:szCs w:val="20"/>
        </w:rPr>
        <w:t>Stambouli, M., Romdhane, F. F., Ghrissi, F., Jaoua, A., Ellini, S., &amp; Cheour, M. (2023). Cross-cultural comparison of mental illness stigma: A Multinational Population-Based Study from 16 Arab Countries and 10,036 Individuals. </w:t>
      </w:r>
      <w:r>
        <w:rPr>
          <w:rFonts w:asciiTheme="majorBidi" w:hAnsiTheme="majorBidi" w:cstheme="majorBidi"/>
          <w:i/>
          <w:iCs/>
          <w:sz w:val="20"/>
          <w:szCs w:val="20"/>
        </w:rPr>
        <w:t>European Psychiatry</w:t>
      </w:r>
      <w:r>
        <w:rPr>
          <w:rFonts w:asciiTheme="majorBidi" w:hAnsiTheme="majorBidi" w:cstheme="majorBidi"/>
          <w:sz w:val="20"/>
          <w:szCs w:val="20"/>
        </w:rPr>
        <w:t>, </w:t>
      </w:r>
      <w:r>
        <w:rPr>
          <w:rFonts w:asciiTheme="majorBidi" w:hAnsiTheme="majorBidi" w:cstheme="majorBidi"/>
          <w:i/>
          <w:iCs/>
          <w:sz w:val="20"/>
          <w:szCs w:val="20"/>
        </w:rPr>
        <w:t>66</w:t>
      </w:r>
      <w:r>
        <w:rPr>
          <w:rFonts w:asciiTheme="majorBidi" w:hAnsiTheme="majorBidi" w:cstheme="majorBidi"/>
          <w:sz w:val="20"/>
          <w:szCs w:val="20"/>
        </w:rPr>
        <w:t>(S1), S342-S342.</w:t>
      </w:r>
      <w:r>
        <w:rPr>
          <w:rFonts w:asciiTheme="majorBidi" w:hAnsiTheme="majorBidi" w:cstheme="majorBidi"/>
          <w:sz w:val="20"/>
          <w:szCs w:val="20"/>
          <w:rtl/>
        </w:rPr>
        <w:t>‏</w:t>
      </w:r>
    </w:p>
    <w:p w14:paraId="45E29BDE">
      <w:pPr>
        <w:spacing w:line="360" w:lineRule="auto"/>
        <w:ind w:left="720" w:hanging="720"/>
        <w:jc w:val="lowKashida"/>
        <w:rPr>
          <w:rFonts w:asciiTheme="majorBidi" w:hAnsiTheme="majorBidi" w:cstheme="majorBidi"/>
          <w:sz w:val="20"/>
          <w:szCs w:val="20"/>
          <w:lang w:bidi="ar-JO"/>
        </w:rPr>
      </w:pPr>
      <w:r>
        <w:rPr>
          <w:rFonts w:asciiTheme="majorBidi" w:hAnsiTheme="majorBidi" w:cstheme="majorBidi"/>
          <w:sz w:val="20"/>
          <w:szCs w:val="20"/>
          <w:lang w:bidi="ar-JO"/>
        </w:rPr>
        <w:t>Tambling, RR, D’Aniello, C, and Russell, BS. Mental health literacy: a critical target for narrowing racial disparities in behavioral health. </w:t>
      </w:r>
      <w:r>
        <w:rPr>
          <w:rFonts w:asciiTheme="majorBidi" w:hAnsiTheme="majorBidi" w:cstheme="majorBidi"/>
          <w:i/>
          <w:iCs/>
          <w:sz w:val="20"/>
          <w:szCs w:val="20"/>
          <w:lang w:bidi="ar-JO"/>
        </w:rPr>
        <w:t>Int J Ment Health Addict</w:t>
      </w:r>
      <w:r>
        <w:rPr>
          <w:rFonts w:asciiTheme="majorBidi" w:hAnsiTheme="majorBidi" w:cstheme="majorBidi"/>
          <w:sz w:val="20"/>
          <w:szCs w:val="20"/>
          <w:lang w:bidi="ar-JO"/>
        </w:rPr>
        <w:t>. (2023) 21:1867–81. doi: 10.1007/s11469-021-00694-w</w:t>
      </w:r>
    </w:p>
    <w:p w14:paraId="21827F2C">
      <w:pPr>
        <w:spacing w:line="360" w:lineRule="auto"/>
        <w:ind w:left="720" w:hanging="720"/>
        <w:jc w:val="lowKashida"/>
        <w:rPr>
          <w:rFonts w:asciiTheme="majorBidi" w:hAnsiTheme="majorBidi" w:cstheme="majorBidi"/>
          <w:sz w:val="20"/>
          <w:szCs w:val="20"/>
          <w:lang w:bidi="ar-JO"/>
        </w:rPr>
      </w:pPr>
      <w:r>
        <w:rPr>
          <w:rFonts w:asciiTheme="majorBidi" w:hAnsiTheme="majorBidi" w:cstheme="majorBidi"/>
          <w:sz w:val="20"/>
          <w:szCs w:val="20"/>
          <w:lang w:bidi="ar-JO"/>
        </w:rPr>
        <w:t>Tayseer, R. (2023). </w:t>
      </w:r>
      <w:r>
        <w:rPr>
          <w:rFonts w:asciiTheme="majorBidi" w:hAnsiTheme="majorBidi" w:cstheme="majorBidi"/>
          <w:i/>
          <w:iCs/>
          <w:sz w:val="20"/>
          <w:szCs w:val="20"/>
          <w:lang w:bidi="ar-JO"/>
        </w:rPr>
        <w:t>20% of Jordanians suffer from depression, anxiety–National Centre for Mental Health Jordan Times</w:t>
      </w:r>
      <w:r>
        <w:rPr>
          <w:rFonts w:asciiTheme="majorBidi" w:hAnsiTheme="majorBidi" w:cstheme="majorBidi"/>
          <w:sz w:val="20"/>
          <w:szCs w:val="20"/>
          <w:lang w:bidi="ar-JO"/>
        </w:rPr>
        <w:t>. Available at: </w:t>
      </w:r>
      <w:r>
        <w:fldChar w:fldCharType="begin"/>
      </w:r>
      <w:r>
        <w:instrText xml:space="preserve"> HYPERLINK "https://jordantimes.com/news/local/20-jordanians-suffer-depression-anxiety-%E2%80%94-national-centre-mental-health" </w:instrText>
      </w:r>
      <w:r>
        <w:fldChar w:fldCharType="separate"/>
      </w:r>
      <w:r>
        <w:rPr>
          <w:rStyle w:val="9"/>
          <w:rFonts w:asciiTheme="majorBidi" w:hAnsiTheme="majorBidi" w:cstheme="majorBidi"/>
          <w:sz w:val="20"/>
          <w:szCs w:val="20"/>
          <w:lang w:bidi="ar-JO"/>
        </w:rPr>
        <w:t>https://jordantimes.com/news/local/20-jordanians-suffer-depression-anxiety-%E2%80%94-national-centre-mental-health</w:t>
      </w:r>
      <w:r>
        <w:rPr>
          <w:rStyle w:val="9"/>
          <w:rFonts w:asciiTheme="majorBidi" w:hAnsiTheme="majorBidi" w:cstheme="majorBidi"/>
          <w:sz w:val="20"/>
          <w:szCs w:val="20"/>
          <w:lang w:bidi="ar-JO"/>
        </w:rPr>
        <w:fldChar w:fldCharType="end"/>
      </w:r>
      <w:r>
        <w:rPr>
          <w:rFonts w:asciiTheme="majorBidi" w:hAnsiTheme="majorBidi" w:cstheme="majorBidi"/>
          <w:sz w:val="20"/>
          <w:szCs w:val="20"/>
          <w:lang w:bidi="ar-JO"/>
        </w:rPr>
        <w:t> (Accessed June 10, 2024).</w:t>
      </w:r>
    </w:p>
    <w:p w14:paraId="26558790">
      <w:pPr>
        <w:spacing w:before="100" w:beforeAutospacing="1" w:after="100" w:afterAutospacing="1" w:line="360" w:lineRule="auto"/>
        <w:ind w:left="720" w:hanging="720"/>
        <w:jc w:val="lowKashida"/>
        <w:rPr>
          <w:rFonts w:eastAsia="Times New Roman" w:asciiTheme="majorBidi" w:hAnsiTheme="majorBidi" w:cstheme="majorBidi"/>
          <w:kern w:val="0"/>
          <w:sz w:val="20"/>
          <w:szCs w:val="20"/>
          <w14:ligatures w14:val="none"/>
        </w:rPr>
      </w:pPr>
      <w:r>
        <w:rPr>
          <w:rFonts w:eastAsia="Times New Roman" w:asciiTheme="majorBidi" w:hAnsiTheme="majorBidi" w:cstheme="majorBidi"/>
          <w:kern w:val="0"/>
          <w:sz w:val="20"/>
          <w:szCs w:val="20"/>
          <w14:ligatures w14:val="none"/>
        </w:rPr>
        <w:t>Thornicroft, G., Sunkel, C., Aliev, A. A., Baker, S., Brohan, E., El Chammay, R., ... &amp; Winkler, P. (2022). The Lancet Commission on ending stigma and discrimination in mental health. </w:t>
      </w:r>
      <w:r>
        <w:rPr>
          <w:rFonts w:eastAsia="Times New Roman" w:asciiTheme="majorBidi" w:hAnsiTheme="majorBidi" w:cstheme="majorBidi"/>
          <w:i/>
          <w:iCs/>
          <w:kern w:val="0"/>
          <w:sz w:val="20"/>
          <w:szCs w:val="20"/>
          <w14:ligatures w14:val="none"/>
        </w:rPr>
        <w:t>The Lancet</w:t>
      </w:r>
      <w:r>
        <w:rPr>
          <w:rFonts w:eastAsia="Times New Roman" w:asciiTheme="majorBidi" w:hAnsiTheme="majorBidi" w:cstheme="majorBidi"/>
          <w:kern w:val="0"/>
          <w:sz w:val="20"/>
          <w:szCs w:val="20"/>
          <w14:ligatures w14:val="none"/>
        </w:rPr>
        <w:t>, </w:t>
      </w:r>
      <w:r>
        <w:rPr>
          <w:rFonts w:eastAsia="Times New Roman" w:asciiTheme="majorBidi" w:hAnsiTheme="majorBidi" w:cstheme="majorBidi"/>
          <w:i/>
          <w:iCs/>
          <w:kern w:val="0"/>
          <w:sz w:val="20"/>
          <w:szCs w:val="20"/>
          <w14:ligatures w14:val="none"/>
        </w:rPr>
        <w:t>400</w:t>
      </w:r>
      <w:r>
        <w:rPr>
          <w:rFonts w:eastAsia="Times New Roman" w:asciiTheme="majorBidi" w:hAnsiTheme="majorBidi" w:cstheme="majorBidi"/>
          <w:kern w:val="0"/>
          <w:sz w:val="20"/>
          <w:szCs w:val="20"/>
          <w14:ligatures w14:val="none"/>
        </w:rPr>
        <w:t>(10361), 1438-1480.</w:t>
      </w:r>
      <w:r>
        <w:rPr>
          <w:rFonts w:eastAsia="Times New Roman" w:asciiTheme="majorBidi" w:hAnsiTheme="majorBidi" w:cstheme="majorBidi"/>
          <w:kern w:val="0"/>
          <w:sz w:val="20"/>
          <w:szCs w:val="20"/>
          <w:rtl/>
          <w14:ligatures w14:val="none"/>
        </w:rPr>
        <w:t>‏</w:t>
      </w:r>
    </w:p>
    <w:p w14:paraId="3A3E6B37">
      <w:pPr>
        <w:spacing w:line="360" w:lineRule="auto"/>
        <w:ind w:left="720" w:hanging="720"/>
        <w:jc w:val="lowKashida"/>
        <w:rPr>
          <w:rFonts w:asciiTheme="majorBidi" w:hAnsiTheme="majorBidi" w:cstheme="majorBidi"/>
          <w:sz w:val="20"/>
          <w:szCs w:val="20"/>
          <w:rtl/>
        </w:rPr>
      </w:pPr>
      <w:r>
        <w:rPr>
          <w:rFonts w:asciiTheme="majorBidi" w:hAnsiTheme="majorBidi" w:cstheme="majorBidi"/>
          <w:sz w:val="20"/>
          <w:szCs w:val="20"/>
        </w:rPr>
        <w:t xml:space="preserve">Wei, Y., McGrath, P. J., &amp; others. (2023). </w:t>
      </w:r>
      <w:r>
        <w:rPr>
          <w:rFonts w:asciiTheme="majorBidi" w:hAnsiTheme="majorBidi" w:cstheme="majorBidi"/>
          <w:i/>
          <w:iCs/>
          <w:sz w:val="20"/>
          <w:szCs w:val="20"/>
        </w:rPr>
        <w:t>Mental health literacy and stigma: A systematic review of global evidence</w:t>
      </w:r>
      <w:r>
        <w:rPr>
          <w:rFonts w:asciiTheme="majorBidi" w:hAnsiTheme="majorBidi" w:cstheme="majorBidi"/>
          <w:sz w:val="20"/>
          <w:szCs w:val="20"/>
        </w:rPr>
        <w:t xml:space="preserve">. BMC Psychiatry, 23, 1–15. </w:t>
      </w:r>
      <w:r>
        <w:fldChar w:fldCharType="begin"/>
      </w:r>
      <w:r>
        <w:instrText xml:space="preserve"> HYPERLINK "https://doi.org/10.1186/s12888-023-04827-4" \t "_new" </w:instrText>
      </w:r>
      <w:r>
        <w:fldChar w:fldCharType="separate"/>
      </w:r>
      <w:r>
        <w:rPr>
          <w:rStyle w:val="9"/>
          <w:rFonts w:asciiTheme="majorBidi" w:hAnsiTheme="majorBidi" w:cstheme="majorBidi"/>
          <w:sz w:val="20"/>
          <w:szCs w:val="20"/>
        </w:rPr>
        <w:t>https://doi.org/10.1186/s12888-023-04827-4</w:t>
      </w:r>
      <w:r>
        <w:rPr>
          <w:rStyle w:val="9"/>
          <w:rFonts w:asciiTheme="majorBidi" w:hAnsiTheme="majorBidi" w:cstheme="majorBidi"/>
          <w:sz w:val="20"/>
          <w:szCs w:val="20"/>
        </w:rPr>
        <w:fldChar w:fldCharType="end"/>
      </w:r>
    </w:p>
    <w:p w14:paraId="07A3F6E6">
      <w:pPr>
        <w:spacing w:line="360" w:lineRule="auto"/>
        <w:ind w:left="720" w:hanging="720"/>
        <w:jc w:val="lowKashida"/>
        <w:rPr>
          <w:rFonts w:asciiTheme="majorBidi" w:hAnsiTheme="majorBidi" w:cstheme="majorBidi"/>
          <w:sz w:val="20"/>
          <w:szCs w:val="20"/>
          <w:lang w:bidi="ar-JO"/>
        </w:rPr>
      </w:pPr>
      <w:r>
        <w:rPr>
          <w:rFonts w:asciiTheme="majorBidi" w:hAnsiTheme="majorBidi" w:cstheme="majorBidi"/>
          <w:sz w:val="20"/>
          <w:szCs w:val="20"/>
          <w:lang w:bidi="ar-JO"/>
        </w:rPr>
        <w:t>WHO. (2022). </w:t>
      </w:r>
      <w:r>
        <w:rPr>
          <w:rFonts w:asciiTheme="majorBidi" w:hAnsiTheme="majorBidi" w:cstheme="majorBidi"/>
          <w:i/>
          <w:iCs/>
          <w:sz w:val="20"/>
          <w:szCs w:val="20"/>
          <w:lang w:bidi="ar-JO"/>
        </w:rPr>
        <w:t>Mental disorders</w:t>
      </w:r>
      <w:r>
        <w:rPr>
          <w:rFonts w:asciiTheme="majorBidi" w:hAnsiTheme="majorBidi" w:cstheme="majorBidi"/>
          <w:sz w:val="20"/>
          <w:szCs w:val="20"/>
          <w:lang w:bidi="ar-JO"/>
        </w:rPr>
        <w:t>. Available at: </w:t>
      </w:r>
      <w:r>
        <w:fldChar w:fldCharType="begin"/>
      </w:r>
      <w:r>
        <w:instrText xml:space="preserve"> HYPERLINK "https://www.who.int/news-room/fact-sheets/detail/mental-disorders/?gad_source=1&amp;gclid=CjwKCAjwyJqzBhBaEiwAWDRJVH2_FAfntND6HRFmvIXMN1J0CYmeIUlnRrBU4MEG24klXrBlB2O5jxoCGtkQAvD_BwE" </w:instrText>
      </w:r>
      <w:r>
        <w:fldChar w:fldCharType="separate"/>
      </w:r>
      <w:r>
        <w:rPr>
          <w:rStyle w:val="9"/>
          <w:rFonts w:asciiTheme="majorBidi" w:hAnsiTheme="majorBidi" w:cstheme="majorBidi"/>
          <w:sz w:val="20"/>
          <w:szCs w:val="20"/>
          <w:lang w:bidi="ar-JO"/>
        </w:rPr>
        <w:t>https://www.who.int/news-room/fact-sheets/detail/mental-disorders/?gad_source=1&amp;gclid=CjwKCAjwyJqzBhBaEiwAWDRJVH2_FAfntND6HRFmvIXMN1J0CYmeIUlnRrBU4MEG24klXrBlB2O5jxoCGtkQAvD_BwE</w:t>
      </w:r>
      <w:r>
        <w:rPr>
          <w:rStyle w:val="9"/>
          <w:rFonts w:asciiTheme="majorBidi" w:hAnsiTheme="majorBidi" w:cstheme="majorBidi"/>
          <w:sz w:val="20"/>
          <w:szCs w:val="20"/>
          <w:lang w:bidi="ar-JO"/>
        </w:rPr>
        <w:fldChar w:fldCharType="end"/>
      </w:r>
      <w:r>
        <w:rPr>
          <w:rFonts w:asciiTheme="majorBidi" w:hAnsiTheme="majorBidi" w:cstheme="majorBidi"/>
          <w:sz w:val="20"/>
          <w:szCs w:val="20"/>
          <w:lang w:bidi="ar-JO"/>
        </w:rPr>
        <w:t> (Accessed June 10, 2024).</w:t>
      </w:r>
    </w:p>
    <w:p w14:paraId="384387D5">
      <w:pPr>
        <w:spacing w:before="100" w:beforeAutospacing="1" w:after="100" w:afterAutospacing="1" w:line="360" w:lineRule="auto"/>
        <w:ind w:left="720" w:hanging="720"/>
        <w:jc w:val="lowKashida"/>
        <w:rPr>
          <w:rFonts w:eastAsia="Times New Roman" w:asciiTheme="majorBidi" w:hAnsiTheme="majorBidi" w:cstheme="majorBidi"/>
          <w:kern w:val="0"/>
          <w:sz w:val="20"/>
          <w:szCs w:val="20"/>
          <w:rtl/>
          <w14:ligatures w14:val="none"/>
        </w:rPr>
      </w:pPr>
      <w:r>
        <w:rPr>
          <w:rFonts w:asciiTheme="majorBidi" w:hAnsiTheme="majorBidi" w:cstheme="majorBidi"/>
          <w:sz w:val="20"/>
          <w:szCs w:val="20"/>
        </w:rPr>
        <w:t xml:space="preserve">World Health Organization. (2025). </w:t>
      </w:r>
      <w:r>
        <w:rPr>
          <w:rFonts w:asciiTheme="majorBidi" w:hAnsiTheme="majorBidi" w:cstheme="majorBidi"/>
          <w:i/>
          <w:iCs/>
          <w:sz w:val="20"/>
          <w:szCs w:val="20"/>
        </w:rPr>
        <w:t>Over a billion people living with mental health conditions: Services require urgent scale-up</w:t>
      </w:r>
      <w:r>
        <w:rPr>
          <w:rFonts w:asciiTheme="majorBidi" w:hAnsiTheme="majorBidi" w:cstheme="majorBidi"/>
          <w:sz w:val="20"/>
          <w:szCs w:val="20"/>
        </w:rPr>
        <w:t xml:space="preserve">. </w:t>
      </w:r>
      <w:r>
        <w:fldChar w:fldCharType="begin"/>
      </w:r>
      <w:r>
        <w:instrText xml:space="preserve"> HYPERLINK "https://www.who.int/news/item/02-09-2025-over-a-billion-people-living-with-mental-health-conditions-services-require-urgent-scale-up?utm_source=chatgpt.com" \t "_new" </w:instrText>
      </w:r>
      <w:r>
        <w:fldChar w:fldCharType="separate"/>
      </w:r>
      <w:r>
        <w:rPr>
          <w:rStyle w:val="9"/>
          <w:rFonts w:asciiTheme="majorBidi" w:hAnsiTheme="majorBidi" w:cstheme="majorBidi"/>
          <w:sz w:val="20"/>
          <w:szCs w:val="20"/>
        </w:rPr>
        <w:t>https://www.who.int/news/item/02-09-2025-over-a-billion-people-living-with-mental-health-conditions-services-require-urgent-scale-up</w:t>
      </w:r>
      <w:r>
        <w:rPr>
          <w:rStyle w:val="9"/>
          <w:rFonts w:asciiTheme="majorBidi" w:hAnsiTheme="majorBidi" w:cstheme="majorBidi"/>
          <w:sz w:val="20"/>
          <w:szCs w:val="20"/>
        </w:rPr>
        <w:fldChar w:fldCharType="end"/>
      </w:r>
    </w:p>
    <w:p w14:paraId="11BECBA7">
      <w:pPr>
        <w:spacing w:before="100" w:beforeAutospacing="1" w:after="100" w:afterAutospacing="1" w:line="360" w:lineRule="auto"/>
        <w:ind w:left="720" w:hanging="720"/>
        <w:jc w:val="lowKashida"/>
        <w:rPr>
          <w:rFonts w:asciiTheme="majorBidi" w:hAnsiTheme="majorBidi" w:cstheme="majorBidi"/>
          <w:sz w:val="20"/>
          <w:szCs w:val="20"/>
        </w:rPr>
      </w:pPr>
      <w:r>
        <w:rPr>
          <w:rFonts w:asciiTheme="majorBidi" w:hAnsiTheme="majorBidi" w:cstheme="majorBidi"/>
          <w:sz w:val="20"/>
          <w:szCs w:val="20"/>
          <w:lang w:bidi="ar-JO"/>
        </w:rPr>
        <w:t>Zhang, Y., Zhou, M., Liang, R., Chen, J., Shi, P., Zheng, Y., ... &amp; Li, T. (2025). Mental health literacy and the stigmatisation and discrimination of individuals affected by mental illnesses in China: a scoping review. </w:t>
      </w:r>
      <w:r>
        <w:rPr>
          <w:rFonts w:asciiTheme="majorBidi" w:hAnsiTheme="majorBidi" w:cstheme="majorBidi"/>
          <w:i/>
          <w:iCs/>
          <w:sz w:val="20"/>
          <w:szCs w:val="20"/>
          <w:lang w:bidi="ar-JO"/>
        </w:rPr>
        <w:t>The Lancet Regional Health–Western Pacific</w:t>
      </w:r>
      <w:r>
        <w:rPr>
          <w:rFonts w:asciiTheme="majorBidi" w:hAnsiTheme="majorBidi" w:cstheme="majorBidi"/>
          <w:sz w:val="20"/>
          <w:szCs w:val="20"/>
          <w:lang w:bidi="ar-JO"/>
        </w:rPr>
        <w:t>.</w:t>
      </w:r>
    </w:p>
    <w:p w14:paraId="343E5113">
      <w:pPr>
        <w:spacing w:line="360" w:lineRule="auto"/>
        <w:ind w:left="720" w:hanging="720"/>
        <w:jc w:val="lowKashida"/>
        <w:rPr>
          <w:rFonts w:asciiTheme="majorBidi" w:hAnsiTheme="majorBidi" w:cstheme="majorBidi"/>
          <w:lang w:bidi="ar-JO"/>
        </w:rPr>
      </w:pPr>
    </w:p>
    <w:p w14:paraId="143B5E2E">
      <w:pPr>
        <w:bidi/>
        <w:spacing w:before="100" w:beforeAutospacing="1" w:after="100" w:afterAutospacing="1" w:line="360" w:lineRule="auto"/>
        <w:jc w:val="lowKashida"/>
        <w:rPr>
          <w:rFonts w:asciiTheme="majorBidi" w:hAnsiTheme="majorBidi" w:cstheme="majorBidi"/>
        </w:rPr>
      </w:pPr>
      <w:r>
        <w:rPr>
          <w:rFonts w:asciiTheme="majorBidi" w:hAnsiTheme="majorBidi" w:cstheme="majorBidi"/>
          <w:rtl/>
        </w:rPr>
        <w:t xml:space="preserve"> </w:t>
      </w:r>
    </w:p>
    <w:sectPr>
      <w:pgSz w:w="12240" w:h="15840"/>
      <w:pgMar w:top="1440" w:right="1440" w:bottom="1440" w:left="1440" w:header="720" w:footer="720" w:gutter="0"/>
      <w:pgNumType w:start="1"/>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Calibri">
    <w:panose1 w:val="020F0502020204030204"/>
    <w:charset w:val="86"/>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Symbol">
    <w:panose1 w:val="05050102010706020507"/>
    <w:charset w:val="02"/>
    <w:family w:val="roman"/>
    <w:pitch w:val="default"/>
    <w:sig w:usb0="00000000" w:usb1="00000000" w:usb2="00000000" w:usb3="00000000" w:csb0="80000000" w:csb1="00000000"/>
  </w:font>
  <w:font w:name="Simplified Arabic">
    <w:panose1 w:val="02020603050405020304"/>
    <w:charset w:val="00"/>
    <w:family w:val="roman"/>
    <w:pitch w:val="default"/>
    <w:sig w:usb0="00002003" w:usb1="80000000" w:usb2="00000008" w:usb3="00000000" w:csb0="00000041" w:csb1="200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2EA59C">
    <w:pPr>
      <w:pStyle w:val="7"/>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header1.xml><?xml version="1.0" encoding="utf-8"?>
<w:hdr xmlns:w="http://schemas.openxmlformats.org/wordprocessingml/2006/main">
  <w:p>
    <w:pPr>
      <w:tabs>
        <w:tab w:val="right" w:pos="9360"/>
      </w:tabs>
      <w:spacing w:after="0"/>
    </w:pPr>
    <w:r>
      <w:rPr>
        <w:rFonts w:ascii="Times New Roman" w:hAnsi="Times New Roman" w:cs="Times New Roman"/>
        <w:sz w:val="16"/>
      </w:rPr>
      <w:t>Olympus Journal of Science</w:t>
    </w:r>
    <w:r>
      <w:tab/>
    </w:r>
    <w:r>
      <w:rPr>
        <w:rFonts w:ascii="Times New Roman" w:hAnsi="Times New Roman" w:cs="Times New Roman"/>
        <w:sz w:val="16"/>
      </w:rPr>
      <w:t>ISSN (Online): 3105-4196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F86F10"/>
    <w:multiLevelType w:val="multilevel"/>
    <w:tmpl w:val="12F86F10"/>
    <w:lvl w:ilvl="0" w:tentative="0">
      <w:start w:val="15"/>
      <w:numFmt w:val="decimal"/>
      <w:lvlText w:val="%1."/>
      <w:lvlJc w:val="left"/>
      <w:pPr>
        <w:ind w:left="360" w:hanging="360"/>
      </w:pPr>
      <w:rPr>
        <w:rFonts w:hint="default" w:cs="Arial"/>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
    <w:nsid w:val="1ECB0B37"/>
    <w:multiLevelType w:val="multilevel"/>
    <w:tmpl w:val="1ECB0B37"/>
    <w:lvl w:ilvl="0" w:tentative="0">
      <w:start w:val="12"/>
      <w:numFmt w:val="decimal"/>
      <w:lvlText w:val="%1."/>
      <w:lvlJc w:val="left"/>
      <w:pPr>
        <w:ind w:left="360" w:hanging="360"/>
      </w:pPr>
      <w:rPr>
        <w:rFonts w:hint="default" w:cs="Arial"/>
      </w:r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2">
    <w:nsid w:val="323E2E37"/>
    <w:multiLevelType w:val="multilevel"/>
    <w:tmpl w:val="323E2E37"/>
    <w:lvl w:ilvl="0" w:tentative="0">
      <w:start w:val="0"/>
      <w:numFmt w:val="bullet"/>
      <w:lvlText w:val="-"/>
      <w:lvlJc w:val="left"/>
      <w:pPr>
        <w:ind w:left="720" w:hanging="360"/>
      </w:pPr>
      <w:rPr>
        <w:rFonts w:hint="default" w:ascii="Times New Roman" w:hAnsi="Times New Roman" w:cs="Times New Roman" w:eastAsiaTheme="minorHAnsi"/>
        <w:b/>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3">
    <w:nsid w:val="3B2130DC"/>
    <w:multiLevelType w:val="multilevel"/>
    <w:tmpl w:val="3B2130DC"/>
    <w:lvl w:ilvl="0" w:tentative="0">
      <w:start w:val="1"/>
      <w:numFmt w:val="decimal"/>
      <w:lvlText w:val="%1."/>
      <w:lvlJc w:val="left"/>
      <w:pPr>
        <w:ind w:left="36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
    <w:nsid w:val="4A9F7B19"/>
    <w:multiLevelType w:val="multilevel"/>
    <w:tmpl w:val="4A9F7B19"/>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5">
    <w:nsid w:val="6E7E195E"/>
    <w:multiLevelType w:val="multilevel"/>
    <w:tmpl w:val="6E7E195E"/>
    <w:lvl w:ilvl="0" w:tentative="0">
      <w:start w:val="22"/>
      <w:numFmt w:val="bullet"/>
      <w:lvlText w:val="-"/>
      <w:lvlJc w:val="left"/>
      <w:pPr>
        <w:ind w:left="720" w:hanging="360"/>
      </w:pPr>
      <w:rPr>
        <w:rFonts w:hint="default" w:ascii="Simplified Arabic" w:hAnsi="Simplified Arabic" w:cs="Simplified Arabic" w:eastAsiaTheme="minorHAnsi"/>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num w:numId="1">
    <w:abstractNumId w:val="4"/>
  </w:num>
  <w:num w:numId="2">
    <w:abstractNumId w:val="2"/>
  </w:num>
  <w:num w:numId="3">
    <w:abstractNumId w:val="3"/>
  </w:num>
  <w:num w:numId="4">
    <w:abstractNumId w:val="1"/>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3A5C"/>
    <w:rsid w:val="000013B1"/>
    <w:rsid w:val="00021187"/>
    <w:rsid w:val="00034189"/>
    <w:rsid w:val="0005441F"/>
    <w:rsid w:val="0006348E"/>
    <w:rsid w:val="000A4A65"/>
    <w:rsid w:val="000A76D1"/>
    <w:rsid w:val="000B5CB3"/>
    <w:rsid w:val="000C6262"/>
    <w:rsid w:val="000D49CC"/>
    <w:rsid w:val="000F0298"/>
    <w:rsid w:val="00102B1C"/>
    <w:rsid w:val="00120B92"/>
    <w:rsid w:val="00132B11"/>
    <w:rsid w:val="0014460E"/>
    <w:rsid w:val="00144B37"/>
    <w:rsid w:val="00152C41"/>
    <w:rsid w:val="00171CE7"/>
    <w:rsid w:val="00175F1C"/>
    <w:rsid w:val="00181BCF"/>
    <w:rsid w:val="0019314A"/>
    <w:rsid w:val="001A1883"/>
    <w:rsid w:val="001A2E12"/>
    <w:rsid w:val="001E01C2"/>
    <w:rsid w:val="001E0652"/>
    <w:rsid w:val="001F0B47"/>
    <w:rsid w:val="00202B5D"/>
    <w:rsid w:val="00217DC8"/>
    <w:rsid w:val="00224329"/>
    <w:rsid w:val="00282AF9"/>
    <w:rsid w:val="00295139"/>
    <w:rsid w:val="002A71DB"/>
    <w:rsid w:val="002B5389"/>
    <w:rsid w:val="002F0FA7"/>
    <w:rsid w:val="002F0FB7"/>
    <w:rsid w:val="002F3665"/>
    <w:rsid w:val="00302135"/>
    <w:rsid w:val="00340C96"/>
    <w:rsid w:val="00350B73"/>
    <w:rsid w:val="00361FF6"/>
    <w:rsid w:val="003A47F7"/>
    <w:rsid w:val="003A5620"/>
    <w:rsid w:val="003A7356"/>
    <w:rsid w:val="003B42F2"/>
    <w:rsid w:val="003B621D"/>
    <w:rsid w:val="003F5873"/>
    <w:rsid w:val="00411327"/>
    <w:rsid w:val="004157A8"/>
    <w:rsid w:val="00422591"/>
    <w:rsid w:val="00432656"/>
    <w:rsid w:val="00463C01"/>
    <w:rsid w:val="00492C16"/>
    <w:rsid w:val="004932BF"/>
    <w:rsid w:val="004A7384"/>
    <w:rsid w:val="004D50E9"/>
    <w:rsid w:val="004E1637"/>
    <w:rsid w:val="004E2E29"/>
    <w:rsid w:val="004F5E5E"/>
    <w:rsid w:val="00543116"/>
    <w:rsid w:val="00560653"/>
    <w:rsid w:val="00570313"/>
    <w:rsid w:val="005730D6"/>
    <w:rsid w:val="00591A09"/>
    <w:rsid w:val="005A3595"/>
    <w:rsid w:val="005C43CE"/>
    <w:rsid w:val="005E24F2"/>
    <w:rsid w:val="00602198"/>
    <w:rsid w:val="00613D68"/>
    <w:rsid w:val="006162B8"/>
    <w:rsid w:val="0063213F"/>
    <w:rsid w:val="00665993"/>
    <w:rsid w:val="00666D4F"/>
    <w:rsid w:val="00693A5C"/>
    <w:rsid w:val="006972BE"/>
    <w:rsid w:val="006D0DC6"/>
    <w:rsid w:val="006D1297"/>
    <w:rsid w:val="006E68BB"/>
    <w:rsid w:val="006F2A4F"/>
    <w:rsid w:val="00726BB7"/>
    <w:rsid w:val="00727915"/>
    <w:rsid w:val="00735FE7"/>
    <w:rsid w:val="00744BC4"/>
    <w:rsid w:val="00774EC7"/>
    <w:rsid w:val="00775F18"/>
    <w:rsid w:val="007911D6"/>
    <w:rsid w:val="007C7CD0"/>
    <w:rsid w:val="007D6025"/>
    <w:rsid w:val="007F4828"/>
    <w:rsid w:val="007F7DFD"/>
    <w:rsid w:val="00800F3D"/>
    <w:rsid w:val="00806513"/>
    <w:rsid w:val="008073F8"/>
    <w:rsid w:val="00824DFC"/>
    <w:rsid w:val="008256B9"/>
    <w:rsid w:val="00853789"/>
    <w:rsid w:val="00853A89"/>
    <w:rsid w:val="00862D61"/>
    <w:rsid w:val="00865027"/>
    <w:rsid w:val="008650FD"/>
    <w:rsid w:val="0086621B"/>
    <w:rsid w:val="00872CEC"/>
    <w:rsid w:val="008816D1"/>
    <w:rsid w:val="008B74E5"/>
    <w:rsid w:val="008C08C5"/>
    <w:rsid w:val="008E1459"/>
    <w:rsid w:val="008E7712"/>
    <w:rsid w:val="008F42A6"/>
    <w:rsid w:val="009117E4"/>
    <w:rsid w:val="00931711"/>
    <w:rsid w:val="0093453F"/>
    <w:rsid w:val="00942D4A"/>
    <w:rsid w:val="00956E9A"/>
    <w:rsid w:val="00973E2B"/>
    <w:rsid w:val="009A63D4"/>
    <w:rsid w:val="009B6AA7"/>
    <w:rsid w:val="009C553D"/>
    <w:rsid w:val="009E23E2"/>
    <w:rsid w:val="009E3B42"/>
    <w:rsid w:val="009F38CD"/>
    <w:rsid w:val="00A079BA"/>
    <w:rsid w:val="00A16ED8"/>
    <w:rsid w:val="00A928B1"/>
    <w:rsid w:val="00A92CE9"/>
    <w:rsid w:val="00AA2427"/>
    <w:rsid w:val="00AA332B"/>
    <w:rsid w:val="00AA438F"/>
    <w:rsid w:val="00AC4312"/>
    <w:rsid w:val="00AF13CD"/>
    <w:rsid w:val="00B41B37"/>
    <w:rsid w:val="00B43DD3"/>
    <w:rsid w:val="00B51B61"/>
    <w:rsid w:val="00B86447"/>
    <w:rsid w:val="00B9186D"/>
    <w:rsid w:val="00BA77E0"/>
    <w:rsid w:val="00BC2601"/>
    <w:rsid w:val="00BE6604"/>
    <w:rsid w:val="00BF1921"/>
    <w:rsid w:val="00BF275A"/>
    <w:rsid w:val="00C0093E"/>
    <w:rsid w:val="00C00EB4"/>
    <w:rsid w:val="00C03165"/>
    <w:rsid w:val="00C068B1"/>
    <w:rsid w:val="00C246B4"/>
    <w:rsid w:val="00C272E2"/>
    <w:rsid w:val="00C44C34"/>
    <w:rsid w:val="00C45B20"/>
    <w:rsid w:val="00C714D8"/>
    <w:rsid w:val="00C82E59"/>
    <w:rsid w:val="00CB0F4F"/>
    <w:rsid w:val="00CB43A9"/>
    <w:rsid w:val="00CC3B2B"/>
    <w:rsid w:val="00CC48F6"/>
    <w:rsid w:val="00CD19F5"/>
    <w:rsid w:val="00CE277A"/>
    <w:rsid w:val="00D07E15"/>
    <w:rsid w:val="00D23E6A"/>
    <w:rsid w:val="00D3063B"/>
    <w:rsid w:val="00D33841"/>
    <w:rsid w:val="00D35664"/>
    <w:rsid w:val="00D47540"/>
    <w:rsid w:val="00D50661"/>
    <w:rsid w:val="00D70D05"/>
    <w:rsid w:val="00D71A73"/>
    <w:rsid w:val="00D83E41"/>
    <w:rsid w:val="00DC73CA"/>
    <w:rsid w:val="00DD5E6E"/>
    <w:rsid w:val="00DD735E"/>
    <w:rsid w:val="00DF6D07"/>
    <w:rsid w:val="00DF6EDA"/>
    <w:rsid w:val="00E132AE"/>
    <w:rsid w:val="00E1408F"/>
    <w:rsid w:val="00E162DC"/>
    <w:rsid w:val="00E27B5C"/>
    <w:rsid w:val="00E764F7"/>
    <w:rsid w:val="00E81459"/>
    <w:rsid w:val="00E85C81"/>
    <w:rsid w:val="00E877D9"/>
    <w:rsid w:val="00E96341"/>
    <w:rsid w:val="00EA207B"/>
    <w:rsid w:val="00EF7FD0"/>
    <w:rsid w:val="00F07663"/>
    <w:rsid w:val="00F11DA1"/>
    <w:rsid w:val="00F24BCC"/>
    <w:rsid w:val="00F35F3D"/>
    <w:rsid w:val="00F66D7B"/>
    <w:rsid w:val="00F85840"/>
    <w:rsid w:val="00FA1BF1"/>
    <w:rsid w:val="00FC3205"/>
    <w:rsid w:val="00FC6244"/>
    <w:rsid w:val="00FD0D0C"/>
    <w:rsid w:val="00FF5FF2"/>
    <w:rsid w:val="00FF6B9E"/>
    <w:rsid w:val="1BF02C02"/>
    <w:rsid w:val="26EF5686"/>
    <w:rsid w:val="2CE142A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78" w:lineRule="auto"/>
    </w:pPr>
    <w:rPr>
      <w:rFonts w:asciiTheme="minorHAnsi" w:hAnsiTheme="minorHAnsi" w:eastAsiaTheme="minorHAnsi" w:cstheme="minorBidi"/>
      <w:kern w:val="2"/>
      <w:sz w:val="24"/>
      <w:szCs w:val="24"/>
      <w:lang w:val="en-US" w:eastAsia="en-US" w:bidi="ar-SA"/>
      <w14:ligatures w14:val="standardContextual"/>
    </w:rPr>
  </w:style>
  <w:style w:type="paragraph" w:styleId="2">
    <w:name w:val="heading 2"/>
    <w:basedOn w:val="1"/>
    <w:next w:val="1"/>
    <w:link w:val="13"/>
    <w:unhideWhenUsed/>
    <w:qFormat/>
    <w:uiPriority w:val="9"/>
    <w:pPr>
      <w:keepNext/>
      <w:keepLines/>
      <w:spacing w:before="160" w:after="80"/>
      <w:outlineLvl w:val="1"/>
    </w:pPr>
    <w:rPr>
      <w:rFonts w:asciiTheme="majorHAnsi" w:hAnsiTheme="majorHAnsi" w:eastAsiaTheme="majorEastAsia" w:cstheme="majorBidi"/>
      <w:color w:val="2E75B6" w:themeColor="accent1" w:themeShade="BF"/>
      <w:sz w:val="32"/>
      <w:szCs w:val="32"/>
    </w:rPr>
  </w:style>
  <w:style w:type="paragraph" w:styleId="3">
    <w:name w:val="heading 3"/>
    <w:basedOn w:val="1"/>
    <w:next w:val="1"/>
    <w:link w:val="17"/>
    <w:unhideWhenUsed/>
    <w:qFormat/>
    <w:uiPriority w:val="9"/>
    <w:pPr>
      <w:keepNext/>
      <w:keepLines/>
      <w:spacing w:before="40" w:after="0"/>
      <w:outlineLvl w:val="2"/>
    </w:pPr>
    <w:rPr>
      <w:rFonts w:asciiTheme="majorHAnsi" w:hAnsiTheme="majorHAnsi" w:eastAsiaTheme="majorEastAsia" w:cstheme="majorBidi"/>
      <w:color w:val="1F4E79" w:themeColor="accent1" w:themeShade="80"/>
    </w:rPr>
  </w:style>
  <w:style w:type="character" w:default="1" w:styleId="4">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character" w:styleId="6">
    <w:name w:val="Emphasis"/>
    <w:basedOn w:val="4"/>
    <w:qFormat/>
    <w:uiPriority w:val="20"/>
    <w:rPr>
      <w:i/>
      <w:iCs/>
    </w:rPr>
  </w:style>
  <w:style w:type="paragraph" w:styleId="7">
    <w:name w:val="footer"/>
    <w:basedOn w:val="1"/>
    <w:link w:val="16"/>
    <w:unhideWhenUsed/>
    <w:qFormat/>
    <w:uiPriority w:val="99"/>
    <w:pPr>
      <w:tabs>
        <w:tab w:val="center" w:pos="4680"/>
        <w:tab w:val="right" w:pos="9360"/>
      </w:tabs>
      <w:spacing w:after="0" w:line="240" w:lineRule="auto"/>
    </w:pPr>
  </w:style>
  <w:style w:type="paragraph" w:styleId="8">
    <w:name w:val="header"/>
    <w:basedOn w:val="1"/>
    <w:link w:val="15"/>
    <w:unhideWhenUsed/>
    <w:qFormat/>
    <w:uiPriority w:val="99"/>
    <w:pPr>
      <w:tabs>
        <w:tab w:val="center" w:pos="4680"/>
        <w:tab w:val="right" w:pos="9360"/>
      </w:tabs>
      <w:spacing w:after="0" w:line="240" w:lineRule="auto"/>
    </w:pPr>
  </w:style>
  <w:style w:type="character" w:styleId="9">
    <w:name w:val="Hyperlink"/>
    <w:basedOn w:val="4"/>
    <w:unhideWhenUsed/>
    <w:qFormat/>
    <w:uiPriority w:val="99"/>
    <w:rPr>
      <w:color w:val="0563C1" w:themeColor="hyperlink"/>
      <w:u w:val="single"/>
      <w14:textFill>
        <w14:solidFill>
          <w14:schemeClr w14:val="hlink"/>
        </w14:solidFill>
      </w14:textFill>
    </w:rPr>
  </w:style>
  <w:style w:type="paragraph" w:styleId="10">
    <w:name w:val="Normal (Web)"/>
    <w:basedOn w:val="1"/>
    <w:unhideWhenUsed/>
    <w:qFormat/>
    <w:uiPriority w:val="99"/>
    <w:rPr>
      <w:rFonts w:ascii="Times New Roman" w:hAnsi="Times New Roman" w:cs="Times New Roman"/>
    </w:rPr>
  </w:style>
  <w:style w:type="character" w:styleId="11">
    <w:name w:val="Strong"/>
    <w:basedOn w:val="4"/>
    <w:qFormat/>
    <w:uiPriority w:val="22"/>
    <w:rPr>
      <w:b/>
      <w:bCs/>
    </w:rPr>
  </w:style>
  <w:style w:type="table" w:styleId="12">
    <w:name w:val="Table Grid"/>
    <w:basedOn w:val="5"/>
    <w:qFormat/>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Heading 2 Char"/>
    <w:basedOn w:val="4"/>
    <w:link w:val="2"/>
    <w:qFormat/>
    <w:uiPriority w:val="9"/>
    <w:rPr>
      <w:rFonts w:asciiTheme="majorHAnsi" w:hAnsiTheme="majorHAnsi" w:eastAsiaTheme="majorEastAsia" w:cstheme="majorBidi"/>
      <w:color w:val="2E75B6" w:themeColor="accent1" w:themeShade="BF"/>
      <w:kern w:val="2"/>
      <w:sz w:val="32"/>
      <w:szCs w:val="32"/>
      <w14:ligatures w14:val="standardContextual"/>
    </w:rPr>
  </w:style>
  <w:style w:type="table" w:customStyle="1" w:styleId="14">
    <w:name w:val="List Table 6 Colorful Accent 3"/>
    <w:basedOn w:val="5"/>
    <w:qFormat/>
    <w:uiPriority w:val="51"/>
    <w:pPr>
      <w:spacing w:after="0" w:line="240" w:lineRule="auto"/>
    </w:pPr>
    <w:rPr>
      <w:color w:val="7C7C7C" w:themeColor="accent3" w:themeShade="BF"/>
      <w:kern w:val="2"/>
      <w:sz w:val="24"/>
      <w:szCs w:val="24"/>
      <w14:ligatures w14:val="standardContextual"/>
    </w:rPr>
    <w:tblPr>
      <w:tblBorders>
        <w:top w:val="single" w:color="A5A5A5" w:themeColor="accent3" w:sz="4" w:space="0"/>
        <w:bottom w:val="single" w:color="A5A5A5" w:themeColor="accent3" w:sz="4" w:space="0"/>
      </w:tblBorders>
    </w:tblPr>
    <w:tblStylePr w:type="firstRow">
      <w:rPr>
        <w:b/>
        <w:bCs/>
      </w:rPr>
      <w:tcPr>
        <w:tcBorders>
          <w:bottom w:val="single" w:color="A5A5A5" w:themeColor="accent3" w:sz="4" w:space="0"/>
        </w:tcBorders>
      </w:tcPr>
    </w:tblStylePr>
    <w:tblStylePr w:type="lastRow">
      <w:rPr>
        <w:b/>
        <w:bCs/>
      </w:rPr>
      <w:tcPr>
        <w:tcBorders>
          <w:top w:val="double" w:color="A5A5A5" w:themeColor="accent3" w:sz="4" w:space="0"/>
        </w:tcBorders>
      </w:tcPr>
    </w:tblStylePr>
    <w:tblStylePr w:type="firstCol">
      <w:rPr>
        <w:b/>
        <w:bCs/>
      </w:rPr>
    </w:tblStylePr>
    <w:tblStylePr w:type="lastCol">
      <w:rPr>
        <w:b/>
        <w:bCs/>
      </w:rPr>
    </w:tblStylePr>
    <w:tblStylePr w:type="band1Vert">
      <w:tcPr>
        <w:shd w:val="clear" w:color="auto" w:fill="ECECEC" w:themeFill="accent3" w:themeFillTint="33"/>
      </w:tcPr>
    </w:tblStylePr>
    <w:tblStylePr w:type="band1Horz">
      <w:tcPr>
        <w:shd w:val="clear" w:color="auto" w:fill="ECECEC" w:themeFill="accent3" w:themeFillTint="33"/>
      </w:tcPr>
    </w:tblStylePr>
  </w:style>
  <w:style w:type="character" w:customStyle="1" w:styleId="15">
    <w:name w:val="Header Char"/>
    <w:basedOn w:val="4"/>
    <w:link w:val="8"/>
    <w:qFormat/>
    <w:uiPriority w:val="99"/>
    <w:rPr>
      <w:kern w:val="2"/>
      <w:sz w:val="24"/>
      <w:szCs w:val="24"/>
      <w14:ligatures w14:val="standardContextual"/>
    </w:rPr>
  </w:style>
  <w:style w:type="character" w:customStyle="1" w:styleId="16">
    <w:name w:val="Footer Char"/>
    <w:basedOn w:val="4"/>
    <w:link w:val="7"/>
    <w:qFormat/>
    <w:uiPriority w:val="99"/>
    <w:rPr>
      <w:kern w:val="2"/>
      <w:sz w:val="24"/>
      <w:szCs w:val="24"/>
      <w14:ligatures w14:val="standardContextual"/>
    </w:rPr>
  </w:style>
  <w:style w:type="character" w:customStyle="1" w:styleId="17">
    <w:name w:val="Heading 3 Char"/>
    <w:basedOn w:val="4"/>
    <w:link w:val="3"/>
    <w:qFormat/>
    <w:uiPriority w:val="9"/>
    <w:rPr>
      <w:rFonts w:asciiTheme="majorHAnsi" w:hAnsiTheme="majorHAnsi" w:eastAsiaTheme="majorEastAsia" w:cstheme="majorBidi"/>
      <w:color w:val="1F4E79" w:themeColor="accent1" w:themeShade="80"/>
      <w:kern w:val="2"/>
      <w:sz w:val="24"/>
      <w:szCs w:val="24"/>
      <w14:ligatures w14:val="standardContextual"/>
    </w:rPr>
  </w:style>
  <w:style w:type="table" w:customStyle="1" w:styleId="18">
    <w:name w:val="Plain Table 2"/>
    <w:basedOn w:val="5"/>
    <w:uiPriority w:val="42"/>
    <w:pPr>
      <w:spacing w:after="0" w:line="240" w:lineRule="auto"/>
    </w:pPr>
    <w:tblPr>
      <w:tblBorders>
        <w:top w:val="single" w:color="7E7E7E" w:themeColor="text1" w:themeTint="80" w:sz="4" w:space="0"/>
        <w:bottom w:val="single" w:color="7E7E7E" w:themeColor="text1" w:themeTint="80" w:sz="4" w:space="0"/>
      </w:tblBorders>
    </w:tblPr>
    <w:tblStylePr w:type="firstRow">
      <w:rPr>
        <w:b/>
        <w:bCs/>
      </w:rPr>
      <w:tcPr>
        <w:tcBorders>
          <w:bottom w:val="single" w:color="7E7E7E" w:themeColor="text1" w:themeTint="80" w:sz="4" w:space="0"/>
        </w:tcBorders>
      </w:tcPr>
    </w:tblStylePr>
    <w:tblStylePr w:type="lastRow">
      <w:rPr>
        <w:b/>
        <w:bCs/>
      </w:rPr>
      <w:tcPr>
        <w:tcBorders>
          <w:top w:val="single" w:color="7E7E7E" w:themeColor="text1" w:themeTint="80" w:sz="4" w:space="0"/>
        </w:tcBorders>
      </w:tcPr>
    </w:tblStylePr>
    <w:tblStylePr w:type="firstCol">
      <w:rPr>
        <w:b/>
        <w:bCs/>
      </w:rPr>
    </w:tblStylePr>
    <w:tblStylePr w:type="lastCol">
      <w:rPr>
        <w:b/>
        <w:bCs/>
      </w:rPr>
    </w:tblStylePr>
    <w:tblStylePr w:type="band1Vert">
      <w:tcPr>
        <w:tcBorders>
          <w:left w:val="single" w:color="7E7E7E" w:themeColor="text1" w:themeTint="80" w:sz="4" w:space="0"/>
          <w:right w:val="single" w:color="7E7E7E" w:themeColor="text1" w:themeTint="80" w:sz="4" w:space="0"/>
        </w:tcBorders>
      </w:tcPr>
    </w:tblStylePr>
    <w:tblStylePr w:type="band2Vert">
      <w:tcPr>
        <w:tcBorders>
          <w:left w:val="single" w:color="7E7E7E" w:themeColor="text1" w:themeTint="80" w:sz="4" w:space="0"/>
          <w:right w:val="single" w:color="7E7E7E" w:themeColor="text1" w:themeTint="80" w:sz="4" w:space="0"/>
        </w:tcBorders>
      </w:tcPr>
    </w:tblStylePr>
    <w:tblStylePr w:type="band1Horz">
      <w:tcPr>
        <w:tcBorders>
          <w:top w:val="single" w:color="7E7E7E" w:themeColor="text1" w:themeTint="80" w:sz="4" w:space="0"/>
          <w:bottom w:val="single" w:color="7E7E7E" w:themeColor="text1" w:themeTint="80" w:sz="4" w:space="0"/>
        </w:tcBorders>
      </w:tcPr>
    </w:tblStylePr>
  </w:style>
  <w:style w:type="paragraph" w:styleId="19">
    <w:name w:val="List Paragraph"/>
    <w:basedOn w:val="1"/>
    <w:qFormat/>
    <w:uiPriority w:val="34"/>
    <w:pPr>
      <w:ind w:left="720"/>
      <w:contextualSpacing/>
    </w:pPr>
  </w:style>
  <w:style w:type="table" w:customStyle="1" w:styleId="20">
    <w:name w:val="Grid Table Light"/>
    <w:basedOn w:val="5"/>
    <w:qFormat/>
    <w:uiPriority w:val="40"/>
    <w:pPr>
      <w:spacing w:after="0" w:line="240" w:lineRule="auto"/>
    </w:pPr>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style>
  <w:style w:type="table" w:customStyle="1" w:styleId="21">
    <w:name w:val="Plain Table 1"/>
    <w:basedOn w:val="5"/>
    <w:qFormat/>
    <w:uiPriority w:val="41"/>
    <w:pPr>
      <w:spacing w:after="0" w:line="240" w:lineRule="auto"/>
    </w:pPr>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tblStylePr w:type="firstRow">
      <w:rPr>
        <w:b/>
        <w:bCs/>
      </w:rPr>
    </w:tblStylePr>
    <w:tblStylePr w:type="lastRow">
      <w:rPr>
        <w:b/>
        <w:bCs/>
      </w:rPr>
      <w:tcPr>
        <w:tcBorders>
          <w:top w:val="double" w:color="BEBEBE" w:themeColor="background1" w:themeShade="BF" w:sz="4" w:space="0"/>
        </w:tcBorders>
      </w:tc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character" w:customStyle="1" w:styleId="22">
    <w:name w:val="Unresolved Mention1"/>
    <w:basedOn w:val="4"/>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 Id="rId11"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436F54-BCED-4045-B858-00F13850371B}">
  <ds:schemaRefs/>
</ds:datastoreItem>
</file>

<file path=docProps/app.xml><?xml version="1.0" encoding="utf-8"?>
<Properties xmlns="http://schemas.openxmlformats.org/officeDocument/2006/extended-properties" xmlns:vt="http://schemas.openxmlformats.org/officeDocument/2006/docPropsVTypes">
  <Template>Normal</Template>
  <Pages>18</Pages>
  <Words>738</Words>
  <Characters>3904</Characters>
  <Lines>304</Lines>
  <Paragraphs>85</Paragraphs>
  <TotalTime>1</TotalTime>
  <ScaleCrop>false</ScaleCrop>
  <LinksUpToDate>false</LinksUpToDate>
  <CharactersWithSpaces>4629</CharactersWithSpaces>
  <Application>WPS Office_12.1.0.25862_F1E327BC-269C-435d-A152-05C5408002CA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2026-05-02T10:10:00Z</dcterms:created>
  <dc:creator>Gofran Amawi</dc:creator>
  <cp:lastModifiedBy>Manar Al_nashash</cp:lastModifiedBy>
  <dcterms:modified xsi:type="dcterms:W3CDTF">2026-05-11T11:41:22Z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eyJoZGlkIjoiYWUxZjUwOTQzMmRmOGZiNjllYTIwYmI1Y2RjOTRiMjkiLCJ1c2VySWQiOiI4ODEzNjA2MzgyMjYzIn0=</vt:lpwstr>
  </property>
  <property fmtid="{D5CDD505-2E9C-101B-9397-08002B2CF9AE}" pid="3" name="KSOProductBuildVer">
    <vt:lpwstr>1033-12.1.0.25862</vt:lpwstr>
  </property>
  <property fmtid="{D5CDD505-2E9C-101B-9397-08002B2CF9AE}" pid="4" name="ICV">
    <vt:lpwstr>C17895E2AFCD4937A577D6DB325AD9F4_12</vt:lpwstr>
  </property>
</Properties>
</file>